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16A7" w14:textId="77777777" w:rsidR="007540C9" w:rsidRPr="00A8578B" w:rsidRDefault="007540C9" w:rsidP="007540C9">
      <w:pPr>
        <w:bidi/>
        <w:rPr>
          <w:b/>
          <w:bCs/>
          <w:sz w:val="40"/>
          <w:szCs w:val="40"/>
        </w:rPr>
      </w:pPr>
      <w:r w:rsidRPr="00A8578B">
        <w:rPr>
          <w:b/>
          <w:bCs/>
          <w:sz w:val="40"/>
          <w:szCs w:val="40"/>
          <w:rtl/>
        </w:rPr>
        <w:t>ضمان سماع واحترام كل صوت</w:t>
      </w:r>
    </w:p>
    <w:p w14:paraId="1540EEB2" w14:textId="77777777" w:rsidR="007540C9" w:rsidRPr="007540C9" w:rsidRDefault="007540C9" w:rsidP="007540C9">
      <w:pPr>
        <w:bidi/>
      </w:pPr>
      <w:r w:rsidRPr="007540C9">
        <w:rPr>
          <w:rtl/>
        </w:rPr>
        <w:t>تؤمن الهيئة العامة للتعليم التطبيقي والتدريب</w:t>
      </w:r>
      <w:r w:rsidRPr="007540C9">
        <w:t xml:space="preserve"> (PAAET) </w:t>
      </w:r>
      <w:r w:rsidRPr="007540C9">
        <w:rPr>
          <w:rtl/>
        </w:rPr>
        <w:t>بأن موظفيها هم أساس نجاحها واستدامتها</w:t>
      </w:r>
      <w:r w:rsidRPr="007540C9">
        <w:t>.</w:t>
      </w:r>
      <w:r w:rsidRPr="007540C9">
        <w:br/>
      </w:r>
      <w:r w:rsidRPr="007540C9">
        <w:rPr>
          <w:rtl/>
        </w:rPr>
        <w:t>ولهذا تلتزم الهيئة التزاماً عميقاً بتوفير بيئة عمل عادلة وآمنة ومحترمة، تُمكّن جميع العاملين من التعبير بحرية عن آرائهم وملاحظاتهم ومطالبهم، مع ضمان الشفافية والعدالة والكرامة الإنسانية في جميع مراحل التعامل</w:t>
      </w:r>
      <w:r w:rsidRPr="007540C9">
        <w:t>.</w:t>
      </w:r>
    </w:p>
    <w:p w14:paraId="7711D6F6" w14:textId="77777777" w:rsidR="007540C9" w:rsidRDefault="007540C9" w:rsidP="007540C9">
      <w:pPr>
        <w:bidi/>
        <w:rPr>
          <w:rtl/>
        </w:rPr>
      </w:pPr>
      <w:r w:rsidRPr="007540C9">
        <w:rPr>
          <w:rtl/>
        </w:rPr>
        <w:t>تُجسّد هذه السياسة التزام الهيئة بمبادئ العمل اللائق (الهدف الثامن) والمؤسسات القوية (الهدف السادس عشر) من أهداف التنمية المستدامة، من خلال ترسيخ العدالة الإجرائية واحترام حقوق الإنسان في كل مستوى وظيفي داخل المؤسسة</w:t>
      </w:r>
      <w:r w:rsidRPr="007540C9">
        <w:t>.</w:t>
      </w:r>
    </w:p>
    <w:p w14:paraId="02B342CB" w14:textId="6229DA9A" w:rsidR="00247D3C" w:rsidRDefault="00247D3C" w:rsidP="00247D3C">
      <w:pPr>
        <w:bidi/>
        <w:rPr>
          <w:rtl/>
        </w:rPr>
      </w:pPr>
      <w:r>
        <w:rPr>
          <w:noProof/>
        </w:rPr>
        <w:drawing>
          <wp:anchor distT="0" distB="0" distL="114300" distR="114300" simplePos="0" relativeHeight="251658240" behindDoc="0" locked="0" layoutInCell="1" allowOverlap="1" wp14:anchorId="14281534" wp14:editId="2D728021">
            <wp:simplePos x="0" y="0"/>
            <wp:positionH relativeFrom="column">
              <wp:posOffset>1806734</wp:posOffset>
            </wp:positionH>
            <wp:positionV relativeFrom="paragraph">
              <wp:posOffset>33179</wp:posOffset>
            </wp:positionV>
            <wp:extent cx="2979420" cy="2258695"/>
            <wp:effectExtent l="0" t="0" r="0" b="8255"/>
            <wp:wrapNone/>
            <wp:docPr id="67140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952"/>
                    <a:stretch>
                      <a:fillRect/>
                    </a:stretch>
                  </pic:blipFill>
                  <pic:spPr bwMode="auto">
                    <a:xfrm>
                      <a:off x="0" y="0"/>
                      <a:ext cx="2979420" cy="22586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7423552" w14:textId="71BE8DD3" w:rsidR="00247D3C" w:rsidRDefault="00247D3C" w:rsidP="00247D3C">
      <w:pPr>
        <w:bidi/>
        <w:rPr>
          <w:rtl/>
        </w:rPr>
      </w:pPr>
    </w:p>
    <w:p w14:paraId="596DB602" w14:textId="0E9AC2A5" w:rsidR="00247D3C" w:rsidRDefault="00247D3C" w:rsidP="00247D3C">
      <w:pPr>
        <w:bidi/>
        <w:rPr>
          <w:rtl/>
        </w:rPr>
      </w:pPr>
    </w:p>
    <w:p w14:paraId="67480FB8" w14:textId="77777777" w:rsidR="00247D3C" w:rsidRDefault="00247D3C" w:rsidP="00247D3C">
      <w:pPr>
        <w:bidi/>
        <w:rPr>
          <w:rtl/>
        </w:rPr>
      </w:pPr>
    </w:p>
    <w:p w14:paraId="77F4A6AB" w14:textId="77777777" w:rsidR="00247D3C" w:rsidRDefault="00247D3C" w:rsidP="00247D3C">
      <w:pPr>
        <w:bidi/>
        <w:rPr>
          <w:rtl/>
        </w:rPr>
      </w:pPr>
    </w:p>
    <w:p w14:paraId="5C323023" w14:textId="77777777" w:rsidR="00247D3C" w:rsidRDefault="00247D3C" w:rsidP="00247D3C">
      <w:pPr>
        <w:bidi/>
        <w:rPr>
          <w:rtl/>
        </w:rPr>
      </w:pPr>
    </w:p>
    <w:p w14:paraId="6549D126" w14:textId="77777777" w:rsidR="00247D3C" w:rsidRDefault="00247D3C" w:rsidP="00247D3C">
      <w:pPr>
        <w:bidi/>
        <w:rPr>
          <w:rtl/>
        </w:rPr>
      </w:pPr>
    </w:p>
    <w:p w14:paraId="26EE61CE" w14:textId="77777777" w:rsidR="00247D3C" w:rsidRPr="007540C9" w:rsidRDefault="00247D3C" w:rsidP="00247D3C">
      <w:pPr>
        <w:bidi/>
      </w:pPr>
    </w:p>
    <w:p w14:paraId="02709355" w14:textId="64C8C1F5" w:rsidR="007540C9" w:rsidRPr="00247D3C" w:rsidRDefault="007540C9" w:rsidP="00247D3C">
      <w:pPr>
        <w:bidi/>
        <w:jc w:val="center"/>
        <w:rPr>
          <w:b/>
          <w:bCs/>
        </w:rPr>
      </w:pPr>
      <w:r w:rsidRPr="00247D3C">
        <w:rPr>
          <w:b/>
          <w:bCs/>
          <w:rtl/>
        </w:rPr>
        <w:t>لقاء ودي بين</w:t>
      </w:r>
      <w:r w:rsidR="00247D3C" w:rsidRPr="00247D3C">
        <w:rPr>
          <w:rFonts w:hint="cs"/>
          <w:b/>
          <w:bCs/>
          <w:rtl/>
        </w:rPr>
        <w:t xml:space="preserve"> قيادة الهيئة العامة للتعليم التطبيقي والتدريب</w:t>
      </w:r>
      <w:r w:rsidRPr="00247D3C">
        <w:rPr>
          <w:b/>
          <w:bCs/>
          <w:rtl/>
        </w:rPr>
        <w:t xml:space="preserve"> </w:t>
      </w:r>
      <w:r w:rsidR="00247D3C" w:rsidRPr="00247D3C">
        <w:rPr>
          <w:rFonts w:hint="cs"/>
          <w:b/>
          <w:bCs/>
          <w:rtl/>
        </w:rPr>
        <w:t>و</w:t>
      </w:r>
      <w:r w:rsidRPr="00247D3C">
        <w:rPr>
          <w:b/>
          <w:bCs/>
          <w:rtl/>
        </w:rPr>
        <w:t>الموظفين والإدارة ضمن جلسة نقاش مفتوحة حول تحسين بيئة العمل</w:t>
      </w:r>
      <w:r w:rsidRPr="00247D3C">
        <w:rPr>
          <w:b/>
          <w:bCs/>
        </w:rPr>
        <w:t>.</w:t>
      </w:r>
    </w:p>
    <w:p w14:paraId="33D0D003" w14:textId="5F3B4CEA" w:rsidR="007540C9" w:rsidRPr="00247D3C" w:rsidRDefault="007540C9" w:rsidP="007540C9">
      <w:pPr>
        <w:bidi/>
      </w:pPr>
    </w:p>
    <w:p w14:paraId="6CC8DC68" w14:textId="77777777" w:rsidR="007540C9" w:rsidRPr="007540C9" w:rsidRDefault="007540C9" w:rsidP="007540C9">
      <w:pPr>
        <w:bidi/>
        <w:rPr>
          <w:b/>
          <w:bCs/>
        </w:rPr>
      </w:pPr>
      <w:r w:rsidRPr="007540C9">
        <w:rPr>
          <w:b/>
          <w:bCs/>
          <w:rtl/>
        </w:rPr>
        <w:t>نظام تظلّمات منظم وشفاف</w:t>
      </w:r>
    </w:p>
    <w:p w14:paraId="70BC600A" w14:textId="77777777" w:rsidR="007540C9" w:rsidRPr="007540C9" w:rsidRDefault="007540C9" w:rsidP="007540C9">
      <w:pPr>
        <w:bidi/>
      </w:pPr>
      <w:r w:rsidRPr="007540C9">
        <w:rPr>
          <w:rtl/>
        </w:rPr>
        <w:t>وضعت الهيئة نظاماً واضحاً وسهل الوصول لتقديم الشكاوى والتظلمات وفقاً للتشريعات الوطنية في دولة الكويت، بما يضمن الإنصاف والموضوعية في معالجة القضايا الوظيفية عبر ثلاث مراحل رئيسية</w:t>
      </w:r>
      <w:r w:rsidRPr="007540C9">
        <w:t>:</w:t>
      </w:r>
    </w:p>
    <w:p w14:paraId="05BD4CF5" w14:textId="77777777" w:rsidR="007540C9" w:rsidRPr="007540C9" w:rsidRDefault="007540C9" w:rsidP="007540C9">
      <w:pPr>
        <w:numPr>
          <w:ilvl w:val="0"/>
          <w:numId w:val="1"/>
        </w:numPr>
        <w:bidi/>
      </w:pPr>
      <w:r w:rsidRPr="007540C9">
        <w:rPr>
          <w:rtl/>
        </w:rPr>
        <w:t>الحوار المفتوح</w:t>
      </w:r>
      <w:r w:rsidRPr="007540C9">
        <w:t xml:space="preserve">: </w:t>
      </w:r>
      <w:r w:rsidRPr="007540C9">
        <w:rPr>
          <w:rtl/>
        </w:rPr>
        <w:t>تشجع الهيئة الموظفين على مناقشة أي مسألة بشكل ودي مع المشرف المباشر كخطوة أولى نحو الحل</w:t>
      </w:r>
      <w:r w:rsidRPr="007540C9">
        <w:t>.</w:t>
      </w:r>
    </w:p>
    <w:p w14:paraId="4A3E0714" w14:textId="77777777" w:rsidR="007540C9" w:rsidRPr="007540C9" w:rsidRDefault="007540C9" w:rsidP="007540C9">
      <w:pPr>
        <w:numPr>
          <w:ilvl w:val="0"/>
          <w:numId w:val="1"/>
        </w:numPr>
        <w:bidi/>
      </w:pPr>
      <w:r w:rsidRPr="007540C9">
        <w:rPr>
          <w:rtl/>
        </w:rPr>
        <w:t>التظلّم الرسمي</w:t>
      </w:r>
      <w:r w:rsidRPr="007540C9">
        <w:t xml:space="preserve">: </w:t>
      </w:r>
      <w:r w:rsidRPr="007540C9">
        <w:rPr>
          <w:rtl/>
        </w:rPr>
        <w:t>في حال استمرار المشكلة، يمكن للموظف تقديم تظلّم خطي إلى إدارة الموارد البشرية التي تتولى التحقيق وإصدار رد موثق خلال فترة زمنية محددة</w:t>
      </w:r>
      <w:r w:rsidRPr="007540C9">
        <w:t>.</w:t>
      </w:r>
    </w:p>
    <w:p w14:paraId="48A26D52" w14:textId="77777777" w:rsidR="007540C9" w:rsidRPr="007540C9" w:rsidRDefault="007540C9" w:rsidP="007540C9">
      <w:pPr>
        <w:numPr>
          <w:ilvl w:val="0"/>
          <w:numId w:val="1"/>
        </w:numPr>
        <w:bidi/>
      </w:pPr>
      <w:r w:rsidRPr="007540C9">
        <w:rPr>
          <w:rtl/>
        </w:rPr>
        <w:t>مراجعة لجنة التظلّمات</w:t>
      </w:r>
      <w:r w:rsidRPr="007540C9">
        <w:t xml:space="preserve">: </w:t>
      </w:r>
      <w:r w:rsidRPr="007540C9">
        <w:rPr>
          <w:rtl/>
        </w:rPr>
        <w:t>إذا تطلّب الأمر مزيداً من الإجراء، تُحال القضية إلى لجنة مستقلة للتظلّمات تضم أعضاء من الهيئة التدريسية والإداريين لضمان الحياد والمساءلة</w:t>
      </w:r>
      <w:r w:rsidRPr="007540C9">
        <w:t>.</w:t>
      </w:r>
    </w:p>
    <w:p w14:paraId="1A48C193" w14:textId="77777777" w:rsidR="007540C9" w:rsidRPr="007540C9" w:rsidRDefault="007540C9" w:rsidP="007540C9">
      <w:pPr>
        <w:bidi/>
      </w:pPr>
      <w:r w:rsidRPr="007540C9">
        <w:rPr>
          <w:rtl/>
        </w:rPr>
        <w:t>يضمن هذا النظام الثلاثي أن تُعالج جميع القضايا بموضوعية وسرية واحترام كامل للإجراءات القانونية</w:t>
      </w:r>
      <w:r w:rsidRPr="007540C9">
        <w:t>.</w:t>
      </w:r>
    </w:p>
    <w:p w14:paraId="7B79D111" w14:textId="7BCDA3EA" w:rsidR="007540C9" w:rsidRDefault="007540C9" w:rsidP="007540C9">
      <w:pPr>
        <w:bidi/>
      </w:pPr>
    </w:p>
    <w:p w14:paraId="1FFE3BAD" w14:textId="77777777" w:rsidR="007F111B" w:rsidRPr="007F111B" w:rsidRDefault="007F111B" w:rsidP="007F111B">
      <w:pPr>
        <w:bidi/>
      </w:pPr>
    </w:p>
    <w:p w14:paraId="0B566035" w14:textId="77777777" w:rsidR="007540C9" w:rsidRPr="007540C9" w:rsidRDefault="007540C9" w:rsidP="007540C9">
      <w:pPr>
        <w:bidi/>
        <w:rPr>
          <w:b/>
          <w:bCs/>
        </w:rPr>
      </w:pPr>
      <w:r w:rsidRPr="007540C9">
        <w:rPr>
          <w:b/>
          <w:bCs/>
          <w:rtl/>
        </w:rPr>
        <w:lastRenderedPageBreak/>
        <w:t>حق اللجوء للجهات الخارجية وحماية قانونية كاملة</w:t>
      </w:r>
    </w:p>
    <w:p w14:paraId="0BB57B71" w14:textId="77777777" w:rsidR="007540C9" w:rsidRPr="007540C9" w:rsidRDefault="007540C9" w:rsidP="007540C9">
      <w:pPr>
        <w:bidi/>
      </w:pPr>
      <w:r w:rsidRPr="007540C9">
        <w:rPr>
          <w:rtl/>
        </w:rPr>
        <w:t>تمتد عدالة الهيئة إلى ما هو أبعد من حدودها التنظيمية، إذ يحتفظ جميع الموظفين بحقهم في اللجوء إلى جهات خارجية مختصة، تشمل</w:t>
      </w:r>
      <w:r w:rsidRPr="007540C9">
        <w:t>:</w:t>
      </w:r>
    </w:p>
    <w:p w14:paraId="4C4D5BA4" w14:textId="77777777" w:rsidR="007540C9" w:rsidRPr="007540C9" w:rsidRDefault="007540C9" w:rsidP="007540C9">
      <w:pPr>
        <w:numPr>
          <w:ilvl w:val="0"/>
          <w:numId w:val="2"/>
        </w:numPr>
        <w:bidi/>
      </w:pPr>
      <w:r w:rsidRPr="007540C9">
        <w:rPr>
          <w:rtl/>
        </w:rPr>
        <w:t>وزارة الشؤون الاجتماعية والعمل، المسؤولة عن متابعة تطبيق قوانين العمل وحماية حقوق العاملين</w:t>
      </w:r>
      <w:r w:rsidRPr="007540C9">
        <w:t>.</w:t>
      </w:r>
    </w:p>
    <w:p w14:paraId="4EC18841" w14:textId="77777777" w:rsidR="007540C9" w:rsidRPr="007540C9" w:rsidRDefault="007540C9" w:rsidP="007540C9">
      <w:pPr>
        <w:numPr>
          <w:ilvl w:val="0"/>
          <w:numId w:val="2"/>
        </w:numPr>
        <w:bidi/>
      </w:pPr>
      <w:r w:rsidRPr="007540C9">
        <w:rPr>
          <w:rtl/>
        </w:rPr>
        <w:t>المحكمة الإدارية الكويتية، التي تتولى مراجعة القرارات الوظيفية وضمان الرقابة القضائية العادلة</w:t>
      </w:r>
      <w:r w:rsidRPr="007540C9">
        <w:t>.</w:t>
      </w:r>
    </w:p>
    <w:p w14:paraId="7195121B" w14:textId="77777777" w:rsidR="007540C9" w:rsidRPr="007540C9" w:rsidRDefault="007540C9" w:rsidP="007540C9">
      <w:pPr>
        <w:bidi/>
      </w:pPr>
      <w:r w:rsidRPr="007540C9">
        <w:rPr>
          <w:rtl/>
        </w:rPr>
        <w:t>يشكّل هذا النظام المزدوج ضمانة قوية تؤكد أن حوكمة الهيئة تستند إلى سيادة القانون والعدالة المؤسسية</w:t>
      </w:r>
      <w:r w:rsidRPr="007540C9">
        <w:t>.</w:t>
      </w:r>
    </w:p>
    <w:p w14:paraId="2272C1CE" w14:textId="0CC43770" w:rsidR="007540C9" w:rsidRPr="007540C9" w:rsidRDefault="007540C9" w:rsidP="007540C9">
      <w:pPr>
        <w:bidi/>
      </w:pPr>
    </w:p>
    <w:p w14:paraId="2781BB4D" w14:textId="77777777" w:rsidR="007540C9" w:rsidRPr="007540C9" w:rsidRDefault="007540C9" w:rsidP="007540C9">
      <w:pPr>
        <w:bidi/>
        <w:rPr>
          <w:b/>
          <w:bCs/>
        </w:rPr>
      </w:pPr>
      <w:r w:rsidRPr="007540C9">
        <w:rPr>
          <w:b/>
          <w:bCs/>
          <w:rtl/>
        </w:rPr>
        <w:t>التوعية والتحسين المستمر</w:t>
      </w:r>
    </w:p>
    <w:p w14:paraId="36FB4D0B" w14:textId="77777777" w:rsidR="007540C9" w:rsidRPr="007540C9" w:rsidRDefault="007540C9" w:rsidP="007540C9">
      <w:pPr>
        <w:bidi/>
      </w:pPr>
      <w:r w:rsidRPr="007540C9">
        <w:rPr>
          <w:rtl/>
        </w:rPr>
        <w:t>تسعى الهيئة إلى نشر ثقافة الثقة والمسؤولية المؤسسية من خلال مجموعة من المبادرات تشمل</w:t>
      </w:r>
      <w:r w:rsidRPr="007540C9">
        <w:t>:</w:t>
      </w:r>
    </w:p>
    <w:p w14:paraId="61C77131" w14:textId="77777777" w:rsidR="007540C9" w:rsidRPr="007540C9" w:rsidRDefault="007540C9" w:rsidP="007540C9">
      <w:pPr>
        <w:numPr>
          <w:ilvl w:val="0"/>
          <w:numId w:val="3"/>
        </w:numPr>
        <w:bidi/>
      </w:pPr>
      <w:r w:rsidRPr="007540C9">
        <w:rPr>
          <w:rtl/>
        </w:rPr>
        <w:t>نشر إجراءات التظلّم والاستئناف في أدلة الموظفين والمنصات الرقمية للموارد البشرية</w:t>
      </w:r>
      <w:r w:rsidRPr="007540C9">
        <w:t>.</w:t>
      </w:r>
    </w:p>
    <w:p w14:paraId="3B4E489B" w14:textId="77777777" w:rsidR="007540C9" w:rsidRPr="007540C9" w:rsidRDefault="007540C9" w:rsidP="007540C9">
      <w:pPr>
        <w:numPr>
          <w:ilvl w:val="0"/>
          <w:numId w:val="3"/>
        </w:numPr>
        <w:bidi/>
      </w:pPr>
      <w:r w:rsidRPr="007540C9">
        <w:rPr>
          <w:rtl/>
        </w:rPr>
        <w:t>عقد دورات تدريبية وجلسات تعريفية حول حقوق الموظف والتواصل الأخلاقي في بيئة العمل</w:t>
      </w:r>
      <w:r w:rsidRPr="007540C9">
        <w:t>.</w:t>
      </w:r>
    </w:p>
    <w:p w14:paraId="45443A0D" w14:textId="77777777" w:rsidR="007540C9" w:rsidRPr="007540C9" w:rsidRDefault="007540C9" w:rsidP="007540C9">
      <w:pPr>
        <w:numPr>
          <w:ilvl w:val="0"/>
          <w:numId w:val="3"/>
        </w:numPr>
        <w:bidi/>
      </w:pPr>
      <w:r w:rsidRPr="007540C9">
        <w:rPr>
          <w:rtl/>
        </w:rPr>
        <w:t>ضمان السرية التامة لجميع الشكاوى ومنع أي شكل من أشكال الانتقام أو المعاملة السلبية</w:t>
      </w:r>
      <w:r w:rsidRPr="007540C9">
        <w:t>.</w:t>
      </w:r>
    </w:p>
    <w:p w14:paraId="6573D318" w14:textId="77777777" w:rsidR="007540C9" w:rsidRPr="007540C9" w:rsidRDefault="007540C9" w:rsidP="007540C9">
      <w:pPr>
        <w:numPr>
          <w:ilvl w:val="0"/>
          <w:numId w:val="3"/>
        </w:numPr>
        <w:bidi/>
      </w:pPr>
      <w:r w:rsidRPr="007540C9">
        <w:rPr>
          <w:rtl/>
        </w:rPr>
        <w:t>مراجعة دورية للإحصاءات الخاصة بالتظلّمات لتحليل الاتجاهات وتطوير فعالية النظام</w:t>
      </w:r>
      <w:r w:rsidRPr="007540C9">
        <w:t>.</w:t>
      </w:r>
    </w:p>
    <w:p w14:paraId="27763FC6" w14:textId="77777777" w:rsidR="007540C9" w:rsidRDefault="007540C9" w:rsidP="007540C9">
      <w:pPr>
        <w:bidi/>
        <w:rPr>
          <w:rtl/>
        </w:rPr>
      </w:pPr>
      <w:r w:rsidRPr="007540C9">
        <w:rPr>
          <w:rtl/>
        </w:rPr>
        <w:t>تعزز هذه الممارسات ثقافة مؤسسية تجعل العدالة ممارسة يومية لا مجرد حق نظري</w:t>
      </w:r>
      <w:r w:rsidRPr="007540C9">
        <w:t>.</w:t>
      </w:r>
    </w:p>
    <w:p w14:paraId="5294218F" w14:textId="42B67AA8" w:rsidR="00247D3C" w:rsidRDefault="00247D3C" w:rsidP="00247D3C">
      <w:pPr>
        <w:bidi/>
        <w:rPr>
          <w:rFonts w:cs="Arial"/>
          <w:rtl/>
        </w:rPr>
      </w:pPr>
      <w:r w:rsidRPr="00247D3C">
        <w:rPr>
          <w:rFonts w:cs="Arial" w:hint="cs"/>
          <w:rtl/>
        </w:rPr>
        <w:t>تعزّز</w:t>
      </w:r>
      <w:r w:rsidRPr="00247D3C">
        <w:rPr>
          <w:rFonts w:cs="Arial"/>
          <w:rtl/>
        </w:rPr>
        <w:t xml:space="preserve"> </w:t>
      </w:r>
      <w:r w:rsidRPr="00247D3C">
        <w:rPr>
          <w:rFonts w:cs="Arial" w:hint="cs"/>
          <w:rtl/>
        </w:rPr>
        <w:t>الخطة</w:t>
      </w:r>
      <w:r w:rsidRPr="00247D3C">
        <w:rPr>
          <w:rFonts w:cs="Arial"/>
          <w:rtl/>
        </w:rPr>
        <w:t xml:space="preserve"> </w:t>
      </w:r>
      <w:r w:rsidRPr="00247D3C">
        <w:rPr>
          <w:rFonts w:cs="Arial" w:hint="cs"/>
          <w:rtl/>
        </w:rPr>
        <w:t>الاستراتيجية</w:t>
      </w:r>
      <w:r w:rsidRPr="00247D3C">
        <w:rPr>
          <w:rFonts w:cs="Arial"/>
          <w:rtl/>
        </w:rPr>
        <w:t xml:space="preserve"> </w:t>
      </w:r>
      <w:r w:rsidRPr="00247D3C">
        <w:rPr>
          <w:rFonts w:cs="Arial" w:hint="cs"/>
          <w:rtl/>
        </w:rPr>
        <w:t>للهيئة</w:t>
      </w:r>
      <w:r w:rsidRPr="00247D3C">
        <w:rPr>
          <w:rFonts w:cs="Arial"/>
          <w:rtl/>
        </w:rPr>
        <w:t xml:space="preserve"> 2025–2030 </w:t>
      </w:r>
      <w:r w:rsidRPr="00247D3C">
        <w:rPr>
          <w:rFonts w:cs="Arial" w:hint="cs"/>
          <w:rtl/>
        </w:rPr>
        <w:t>هذا</w:t>
      </w:r>
      <w:r w:rsidRPr="00247D3C">
        <w:rPr>
          <w:rFonts w:cs="Arial"/>
          <w:rtl/>
        </w:rPr>
        <w:t xml:space="preserve"> </w:t>
      </w:r>
      <w:r w:rsidRPr="00247D3C">
        <w:rPr>
          <w:rFonts w:cs="Arial" w:hint="cs"/>
          <w:rtl/>
        </w:rPr>
        <w:t>الإطار</w:t>
      </w:r>
      <w:r w:rsidRPr="00247D3C">
        <w:rPr>
          <w:rFonts w:cs="Arial"/>
          <w:rtl/>
        </w:rPr>
        <w:t xml:space="preserve"> </w:t>
      </w:r>
      <w:r w:rsidRPr="00247D3C">
        <w:rPr>
          <w:rFonts w:cs="Arial" w:hint="cs"/>
          <w:rtl/>
        </w:rPr>
        <w:t>المؤسسي</w:t>
      </w:r>
      <w:r w:rsidRPr="00247D3C">
        <w:rPr>
          <w:rFonts w:cs="Arial"/>
          <w:rtl/>
        </w:rPr>
        <w:t xml:space="preserve"> </w:t>
      </w:r>
      <w:r w:rsidRPr="00247D3C">
        <w:rPr>
          <w:rFonts w:cs="Arial" w:hint="cs"/>
          <w:rtl/>
        </w:rPr>
        <w:t>من</w:t>
      </w:r>
      <w:r w:rsidRPr="00247D3C">
        <w:rPr>
          <w:rFonts w:cs="Arial"/>
          <w:rtl/>
        </w:rPr>
        <w:t xml:space="preserve"> </w:t>
      </w:r>
      <w:r w:rsidRPr="00247D3C">
        <w:rPr>
          <w:rFonts w:cs="Arial" w:hint="cs"/>
          <w:rtl/>
        </w:rPr>
        <w:t>خلال</w:t>
      </w:r>
      <w:r w:rsidRPr="00247D3C">
        <w:rPr>
          <w:rFonts w:cs="Arial"/>
          <w:rtl/>
        </w:rPr>
        <w:t xml:space="preserve"> </w:t>
      </w:r>
      <w:r w:rsidRPr="00247D3C">
        <w:rPr>
          <w:rFonts w:cs="Arial" w:hint="cs"/>
          <w:rtl/>
        </w:rPr>
        <w:t>التركيز</w:t>
      </w:r>
      <w:r w:rsidRPr="00247D3C">
        <w:rPr>
          <w:rFonts w:cs="Arial"/>
          <w:rtl/>
        </w:rPr>
        <w:t xml:space="preserve"> </w:t>
      </w:r>
      <w:r w:rsidRPr="00247D3C">
        <w:rPr>
          <w:rFonts w:cs="Arial" w:hint="cs"/>
          <w:rtl/>
        </w:rPr>
        <w:t>على</w:t>
      </w:r>
      <w:r w:rsidRPr="00247D3C">
        <w:rPr>
          <w:rFonts w:cs="Arial"/>
          <w:rtl/>
        </w:rPr>
        <w:t xml:space="preserve"> </w:t>
      </w:r>
      <w:r w:rsidRPr="00247D3C">
        <w:rPr>
          <w:rFonts w:cs="Arial" w:hint="cs"/>
          <w:rtl/>
        </w:rPr>
        <w:t>الحوكمة</w:t>
      </w:r>
      <w:r w:rsidRPr="00247D3C">
        <w:rPr>
          <w:rFonts w:cs="Arial"/>
          <w:rtl/>
        </w:rPr>
        <w:t xml:space="preserve"> </w:t>
      </w:r>
      <w:r w:rsidRPr="00247D3C">
        <w:rPr>
          <w:rFonts w:cs="Arial" w:hint="cs"/>
          <w:rtl/>
        </w:rPr>
        <w:t>العادلة</w:t>
      </w:r>
      <w:r w:rsidRPr="00247D3C">
        <w:rPr>
          <w:rFonts w:cs="Arial"/>
          <w:rtl/>
        </w:rPr>
        <w:t xml:space="preserve"> </w:t>
      </w:r>
      <w:r w:rsidRPr="00247D3C">
        <w:rPr>
          <w:rFonts w:cs="Arial" w:hint="cs"/>
          <w:rtl/>
        </w:rPr>
        <w:t>وآليات</w:t>
      </w:r>
      <w:r w:rsidRPr="00247D3C">
        <w:rPr>
          <w:rFonts w:cs="Arial"/>
          <w:rtl/>
        </w:rPr>
        <w:t xml:space="preserve"> </w:t>
      </w:r>
      <w:r w:rsidRPr="00247D3C">
        <w:rPr>
          <w:rFonts w:cs="Arial" w:hint="cs"/>
          <w:rtl/>
        </w:rPr>
        <w:t>التقييم</w:t>
      </w:r>
      <w:r w:rsidRPr="00247D3C">
        <w:rPr>
          <w:rFonts w:cs="Arial"/>
          <w:rtl/>
        </w:rPr>
        <w:t xml:space="preserve"> </w:t>
      </w:r>
      <w:r w:rsidRPr="00247D3C">
        <w:rPr>
          <w:rFonts w:cs="Arial" w:hint="cs"/>
          <w:rtl/>
        </w:rPr>
        <w:t>والمساءلة</w:t>
      </w:r>
      <w:r w:rsidRPr="00247D3C">
        <w:rPr>
          <w:rFonts w:cs="Arial"/>
          <w:rtl/>
        </w:rPr>
        <w:t xml:space="preserve"> </w:t>
      </w:r>
      <w:r w:rsidRPr="00247D3C">
        <w:rPr>
          <w:rFonts w:cs="Arial" w:hint="cs"/>
          <w:rtl/>
        </w:rPr>
        <w:t>والشفافية</w:t>
      </w:r>
      <w:r w:rsidRPr="00247D3C">
        <w:rPr>
          <w:rFonts w:cs="Arial"/>
          <w:rtl/>
        </w:rPr>
        <w:t xml:space="preserve"> </w:t>
      </w:r>
      <w:r w:rsidRPr="00247D3C">
        <w:rPr>
          <w:rFonts w:cs="Arial" w:hint="cs"/>
          <w:rtl/>
        </w:rPr>
        <w:t>في</w:t>
      </w:r>
      <w:r w:rsidRPr="00247D3C">
        <w:rPr>
          <w:rFonts w:cs="Arial"/>
          <w:rtl/>
        </w:rPr>
        <w:t xml:space="preserve"> </w:t>
      </w:r>
      <w:r w:rsidRPr="00247D3C">
        <w:rPr>
          <w:rFonts w:cs="Arial" w:hint="cs"/>
          <w:rtl/>
        </w:rPr>
        <w:t>بيئة</w:t>
      </w:r>
      <w:r w:rsidRPr="00247D3C">
        <w:rPr>
          <w:rFonts w:cs="Arial"/>
          <w:rtl/>
        </w:rPr>
        <w:t xml:space="preserve"> </w:t>
      </w:r>
      <w:r w:rsidRPr="00247D3C">
        <w:rPr>
          <w:rFonts w:cs="Arial" w:hint="cs"/>
          <w:rtl/>
        </w:rPr>
        <w:t>العمل</w:t>
      </w:r>
      <w:r w:rsidRPr="00247D3C">
        <w:rPr>
          <w:rFonts w:cs="Arial"/>
          <w:rtl/>
        </w:rPr>
        <w:t xml:space="preserve">. </w:t>
      </w:r>
      <w:r w:rsidRPr="00247D3C">
        <w:rPr>
          <w:rFonts w:cs="Arial" w:hint="cs"/>
          <w:rtl/>
        </w:rPr>
        <w:t>وتؤكد</w:t>
      </w:r>
      <w:r w:rsidRPr="00247D3C">
        <w:rPr>
          <w:rFonts w:cs="Arial"/>
          <w:rtl/>
        </w:rPr>
        <w:t xml:space="preserve"> </w:t>
      </w:r>
      <w:r w:rsidRPr="00247D3C">
        <w:rPr>
          <w:rFonts w:cs="Arial" w:hint="cs"/>
          <w:rtl/>
        </w:rPr>
        <w:t>على</w:t>
      </w:r>
      <w:r w:rsidRPr="00247D3C">
        <w:rPr>
          <w:rFonts w:cs="Arial"/>
          <w:rtl/>
        </w:rPr>
        <w:t xml:space="preserve"> </w:t>
      </w:r>
      <w:r w:rsidRPr="00247D3C">
        <w:rPr>
          <w:rFonts w:cs="Arial" w:hint="cs"/>
          <w:rtl/>
        </w:rPr>
        <w:t>أهمية</w:t>
      </w:r>
      <w:r w:rsidRPr="00247D3C">
        <w:rPr>
          <w:rFonts w:cs="Arial"/>
          <w:rtl/>
        </w:rPr>
        <w:t xml:space="preserve"> </w:t>
      </w:r>
      <w:r w:rsidRPr="00247D3C">
        <w:rPr>
          <w:rFonts w:cs="Arial" w:hint="cs"/>
          <w:rtl/>
        </w:rPr>
        <w:t>تمكين</w:t>
      </w:r>
      <w:r w:rsidRPr="00247D3C">
        <w:rPr>
          <w:rFonts w:cs="Arial"/>
          <w:rtl/>
        </w:rPr>
        <w:t xml:space="preserve"> </w:t>
      </w:r>
      <w:r w:rsidRPr="00247D3C">
        <w:rPr>
          <w:rFonts w:cs="Arial" w:hint="cs"/>
          <w:rtl/>
        </w:rPr>
        <w:t>الموظفين</w:t>
      </w:r>
      <w:r w:rsidRPr="00247D3C">
        <w:rPr>
          <w:rFonts w:cs="Arial"/>
          <w:rtl/>
        </w:rPr>
        <w:t xml:space="preserve"> </w:t>
      </w:r>
      <w:r w:rsidRPr="00247D3C">
        <w:rPr>
          <w:rFonts w:cs="Arial" w:hint="cs"/>
          <w:rtl/>
        </w:rPr>
        <w:t>وتوفير</w:t>
      </w:r>
      <w:r w:rsidRPr="00247D3C">
        <w:rPr>
          <w:rFonts w:cs="Arial"/>
          <w:rtl/>
        </w:rPr>
        <w:t xml:space="preserve"> </w:t>
      </w:r>
      <w:r w:rsidRPr="00247D3C">
        <w:rPr>
          <w:rFonts w:cs="Arial" w:hint="cs"/>
          <w:rtl/>
        </w:rPr>
        <w:t>قنوات</w:t>
      </w:r>
      <w:r w:rsidRPr="00247D3C">
        <w:rPr>
          <w:rFonts w:cs="Arial"/>
          <w:rtl/>
        </w:rPr>
        <w:t xml:space="preserve"> </w:t>
      </w:r>
      <w:r w:rsidRPr="00247D3C">
        <w:rPr>
          <w:rFonts w:cs="Arial" w:hint="cs"/>
          <w:rtl/>
        </w:rPr>
        <w:t>رسمية</w:t>
      </w:r>
      <w:r w:rsidRPr="00247D3C">
        <w:rPr>
          <w:rFonts w:cs="Arial"/>
          <w:rtl/>
        </w:rPr>
        <w:t xml:space="preserve"> </w:t>
      </w:r>
      <w:r w:rsidRPr="00247D3C">
        <w:rPr>
          <w:rFonts w:cs="Arial" w:hint="cs"/>
          <w:rtl/>
        </w:rPr>
        <w:t>لرفع</w:t>
      </w:r>
      <w:r w:rsidRPr="00247D3C">
        <w:rPr>
          <w:rFonts w:cs="Arial"/>
          <w:rtl/>
        </w:rPr>
        <w:t xml:space="preserve"> </w:t>
      </w:r>
      <w:r w:rsidRPr="00247D3C">
        <w:rPr>
          <w:rFonts w:cs="Arial" w:hint="cs"/>
          <w:rtl/>
        </w:rPr>
        <w:t>المقترحات</w:t>
      </w:r>
      <w:r w:rsidRPr="00247D3C">
        <w:rPr>
          <w:rFonts w:cs="Arial"/>
          <w:rtl/>
        </w:rPr>
        <w:t xml:space="preserve"> </w:t>
      </w:r>
      <w:r w:rsidRPr="00247D3C">
        <w:rPr>
          <w:rFonts w:cs="Arial" w:hint="cs"/>
          <w:rtl/>
        </w:rPr>
        <w:t>والشكاوى،</w:t>
      </w:r>
      <w:r w:rsidRPr="00247D3C">
        <w:rPr>
          <w:rFonts w:cs="Arial"/>
          <w:rtl/>
        </w:rPr>
        <w:t xml:space="preserve"> </w:t>
      </w:r>
      <w:r w:rsidRPr="00247D3C">
        <w:rPr>
          <w:rFonts w:cs="Arial" w:hint="cs"/>
          <w:rtl/>
        </w:rPr>
        <w:t>بما</w:t>
      </w:r>
      <w:r w:rsidRPr="00247D3C">
        <w:rPr>
          <w:rFonts w:cs="Arial"/>
          <w:rtl/>
        </w:rPr>
        <w:t xml:space="preserve"> </w:t>
      </w:r>
      <w:r w:rsidRPr="00247D3C">
        <w:rPr>
          <w:rFonts w:cs="Arial" w:hint="cs"/>
          <w:rtl/>
        </w:rPr>
        <w:t>يضمن</w:t>
      </w:r>
      <w:r w:rsidRPr="00247D3C">
        <w:rPr>
          <w:rFonts w:cs="Arial"/>
          <w:rtl/>
        </w:rPr>
        <w:t xml:space="preserve"> </w:t>
      </w:r>
      <w:r w:rsidRPr="00247D3C">
        <w:rPr>
          <w:rFonts w:cs="Arial" w:hint="cs"/>
          <w:rtl/>
        </w:rPr>
        <w:t>العدالة</w:t>
      </w:r>
      <w:r w:rsidRPr="00247D3C">
        <w:rPr>
          <w:rFonts w:cs="Arial"/>
          <w:rtl/>
        </w:rPr>
        <w:t xml:space="preserve"> </w:t>
      </w:r>
      <w:r w:rsidRPr="00247D3C">
        <w:rPr>
          <w:rFonts w:cs="Arial" w:hint="cs"/>
          <w:rtl/>
        </w:rPr>
        <w:t>وسرعة</w:t>
      </w:r>
      <w:r w:rsidRPr="00247D3C">
        <w:rPr>
          <w:rFonts w:cs="Arial"/>
          <w:rtl/>
        </w:rPr>
        <w:t xml:space="preserve"> </w:t>
      </w:r>
      <w:r w:rsidRPr="00247D3C">
        <w:rPr>
          <w:rFonts w:cs="Arial" w:hint="cs"/>
          <w:rtl/>
        </w:rPr>
        <w:t>الاستجابة</w:t>
      </w:r>
      <w:r w:rsidRPr="00247D3C">
        <w:rPr>
          <w:rFonts w:cs="Arial"/>
          <w:rtl/>
        </w:rPr>
        <w:t xml:space="preserve"> </w:t>
      </w:r>
      <w:r w:rsidRPr="00247D3C">
        <w:rPr>
          <w:rFonts w:cs="Arial" w:hint="cs"/>
          <w:rtl/>
        </w:rPr>
        <w:t>وحماية</w:t>
      </w:r>
      <w:r w:rsidRPr="00247D3C">
        <w:rPr>
          <w:rFonts w:cs="Arial"/>
          <w:rtl/>
        </w:rPr>
        <w:t xml:space="preserve"> </w:t>
      </w:r>
      <w:r w:rsidRPr="00247D3C">
        <w:rPr>
          <w:rFonts w:cs="Arial" w:hint="cs"/>
          <w:rtl/>
        </w:rPr>
        <w:t>حقوق</w:t>
      </w:r>
      <w:r w:rsidRPr="00247D3C">
        <w:rPr>
          <w:rFonts w:cs="Arial"/>
          <w:rtl/>
        </w:rPr>
        <w:t xml:space="preserve"> </w:t>
      </w:r>
      <w:r w:rsidRPr="00247D3C">
        <w:rPr>
          <w:rFonts w:cs="Arial" w:hint="cs"/>
          <w:rtl/>
        </w:rPr>
        <w:t>العاملين</w:t>
      </w:r>
      <w:r w:rsidRPr="00247D3C">
        <w:rPr>
          <w:rFonts w:cs="Arial"/>
          <w:rtl/>
        </w:rPr>
        <w:t xml:space="preserve">. </w:t>
      </w:r>
      <w:r w:rsidRPr="00247D3C">
        <w:rPr>
          <w:rFonts w:cs="Arial" w:hint="cs"/>
          <w:rtl/>
        </w:rPr>
        <w:t>ويسهم</w:t>
      </w:r>
      <w:r w:rsidRPr="00247D3C">
        <w:rPr>
          <w:rFonts w:cs="Arial"/>
          <w:rtl/>
        </w:rPr>
        <w:t xml:space="preserve"> </w:t>
      </w:r>
      <w:r w:rsidRPr="00247D3C">
        <w:rPr>
          <w:rFonts w:cs="Arial" w:hint="cs"/>
          <w:rtl/>
        </w:rPr>
        <w:t>هذا</w:t>
      </w:r>
      <w:r w:rsidRPr="00247D3C">
        <w:rPr>
          <w:rFonts w:cs="Arial"/>
          <w:rtl/>
        </w:rPr>
        <w:t xml:space="preserve"> </w:t>
      </w:r>
      <w:r w:rsidRPr="00247D3C">
        <w:rPr>
          <w:rFonts w:cs="Arial" w:hint="cs"/>
          <w:rtl/>
        </w:rPr>
        <w:t>التوجه</w:t>
      </w:r>
      <w:r w:rsidRPr="00247D3C">
        <w:rPr>
          <w:rFonts w:cs="Arial"/>
          <w:rtl/>
        </w:rPr>
        <w:t xml:space="preserve"> </w:t>
      </w:r>
      <w:r w:rsidRPr="00247D3C">
        <w:rPr>
          <w:rFonts w:cs="Arial" w:hint="cs"/>
          <w:rtl/>
        </w:rPr>
        <w:t>في</w:t>
      </w:r>
      <w:r w:rsidRPr="00247D3C">
        <w:rPr>
          <w:rFonts w:cs="Arial"/>
          <w:rtl/>
        </w:rPr>
        <w:t xml:space="preserve"> </w:t>
      </w:r>
      <w:r w:rsidRPr="00247D3C">
        <w:rPr>
          <w:rFonts w:cs="Arial" w:hint="cs"/>
          <w:rtl/>
        </w:rPr>
        <w:t>ترسيخ</w:t>
      </w:r>
      <w:r w:rsidRPr="00247D3C">
        <w:rPr>
          <w:rFonts w:cs="Arial"/>
          <w:rtl/>
        </w:rPr>
        <w:t xml:space="preserve"> </w:t>
      </w:r>
      <w:r w:rsidRPr="00247D3C">
        <w:rPr>
          <w:rFonts w:cs="Arial" w:hint="cs"/>
          <w:rtl/>
        </w:rPr>
        <w:t>ثقافة</w:t>
      </w:r>
      <w:r w:rsidRPr="00247D3C">
        <w:rPr>
          <w:rFonts w:cs="Arial"/>
          <w:rtl/>
        </w:rPr>
        <w:t xml:space="preserve"> </w:t>
      </w:r>
      <w:r w:rsidRPr="00247D3C">
        <w:rPr>
          <w:rFonts w:cs="Arial" w:hint="cs"/>
          <w:rtl/>
        </w:rPr>
        <w:t>مؤسسية</w:t>
      </w:r>
      <w:r w:rsidRPr="00247D3C">
        <w:rPr>
          <w:rFonts w:cs="Arial"/>
          <w:rtl/>
        </w:rPr>
        <w:t xml:space="preserve"> </w:t>
      </w:r>
      <w:r w:rsidRPr="00247D3C">
        <w:rPr>
          <w:rFonts w:cs="Arial" w:hint="cs"/>
          <w:rtl/>
        </w:rPr>
        <w:t>قائمة</w:t>
      </w:r>
      <w:r w:rsidRPr="00247D3C">
        <w:rPr>
          <w:rFonts w:cs="Arial"/>
          <w:rtl/>
        </w:rPr>
        <w:t xml:space="preserve"> </w:t>
      </w:r>
      <w:r w:rsidRPr="00247D3C">
        <w:rPr>
          <w:rFonts w:cs="Arial" w:hint="cs"/>
          <w:rtl/>
        </w:rPr>
        <w:t>على</w:t>
      </w:r>
      <w:r w:rsidRPr="00247D3C">
        <w:rPr>
          <w:rFonts w:cs="Arial"/>
          <w:rtl/>
        </w:rPr>
        <w:t xml:space="preserve"> </w:t>
      </w:r>
      <w:r w:rsidRPr="00247D3C">
        <w:rPr>
          <w:rFonts w:cs="Arial" w:hint="cs"/>
          <w:rtl/>
        </w:rPr>
        <w:t>الثقة</w:t>
      </w:r>
      <w:r w:rsidRPr="00247D3C">
        <w:rPr>
          <w:rFonts w:cs="Arial"/>
          <w:rtl/>
        </w:rPr>
        <w:t xml:space="preserve"> </w:t>
      </w:r>
      <w:r w:rsidRPr="00247D3C">
        <w:rPr>
          <w:rFonts w:cs="Arial" w:hint="cs"/>
          <w:rtl/>
        </w:rPr>
        <w:t>والمساءلة</w:t>
      </w:r>
      <w:r w:rsidRPr="00247D3C">
        <w:rPr>
          <w:rFonts w:cs="Arial"/>
          <w:rtl/>
        </w:rPr>
        <w:t xml:space="preserve"> </w:t>
      </w:r>
      <w:r w:rsidRPr="00247D3C">
        <w:rPr>
          <w:rFonts w:cs="Arial" w:hint="cs"/>
          <w:rtl/>
        </w:rPr>
        <w:t>والتمكين،</w:t>
      </w:r>
      <w:r w:rsidRPr="00247D3C">
        <w:rPr>
          <w:rFonts w:cs="Arial"/>
          <w:rtl/>
        </w:rPr>
        <w:t xml:space="preserve"> </w:t>
      </w:r>
      <w:r w:rsidRPr="00247D3C">
        <w:rPr>
          <w:rFonts w:cs="Arial" w:hint="cs"/>
          <w:rtl/>
        </w:rPr>
        <w:t>بما</w:t>
      </w:r>
      <w:r w:rsidRPr="00247D3C">
        <w:rPr>
          <w:rFonts w:cs="Arial"/>
          <w:rtl/>
        </w:rPr>
        <w:t xml:space="preserve"> </w:t>
      </w:r>
      <w:r w:rsidRPr="00247D3C">
        <w:rPr>
          <w:rFonts w:cs="Arial" w:hint="cs"/>
          <w:rtl/>
        </w:rPr>
        <w:t>يدعم</w:t>
      </w:r>
      <w:r w:rsidRPr="00247D3C">
        <w:rPr>
          <w:rFonts w:cs="Arial"/>
          <w:rtl/>
        </w:rPr>
        <w:t xml:space="preserve"> </w:t>
      </w:r>
      <w:r w:rsidRPr="00247D3C">
        <w:rPr>
          <w:rFonts w:cs="Arial" w:hint="cs"/>
          <w:rtl/>
        </w:rPr>
        <w:t>تحقيق</w:t>
      </w:r>
      <w:r w:rsidRPr="00247D3C">
        <w:rPr>
          <w:rFonts w:cs="Arial"/>
          <w:rtl/>
        </w:rPr>
        <w:t xml:space="preserve"> </w:t>
      </w:r>
      <w:r w:rsidRPr="00247D3C">
        <w:rPr>
          <w:rFonts w:cs="Arial" w:hint="cs"/>
          <w:rtl/>
        </w:rPr>
        <w:t>الهدف</w:t>
      </w:r>
      <w:r w:rsidRPr="00247D3C">
        <w:rPr>
          <w:rFonts w:cs="Arial"/>
          <w:rtl/>
        </w:rPr>
        <w:t xml:space="preserve"> </w:t>
      </w:r>
      <w:r w:rsidRPr="00247D3C">
        <w:rPr>
          <w:rFonts w:cs="Arial" w:hint="cs"/>
          <w:rtl/>
        </w:rPr>
        <w:t>الثامن</w:t>
      </w:r>
      <w:r w:rsidRPr="00247D3C">
        <w:rPr>
          <w:rFonts w:cs="Arial"/>
          <w:rtl/>
        </w:rPr>
        <w:t xml:space="preserve"> </w:t>
      </w:r>
      <w:r w:rsidRPr="00247D3C">
        <w:rPr>
          <w:rFonts w:cs="Arial" w:hint="cs"/>
          <w:rtl/>
        </w:rPr>
        <w:t>من</w:t>
      </w:r>
      <w:r w:rsidRPr="00247D3C">
        <w:rPr>
          <w:rFonts w:cs="Arial"/>
          <w:rtl/>
        </w:rPr>
        <w:t xml:space="preserve"> </w:t>
      </w:r>
      <w:r w:rsidRPr="00247D3C">
        <w:rPr>
          <w:rFonts w:cs="Arial" w:hint="cs"/>
          <w:rtl/>
        </w:rPr>
        <w:t>أهداف</w:t>
      </w:r>
      <w:r w:rsidRPr="00247D3C">
        <w:rPr>
          <w:rFonts w:cs="Arial"/>
          <w:rtl/>
        </w:rPr>
        <w:t xml:space="preserve"> </w:t>
      </w:r>
      <w:r w:rsidRPr="00247D3C">
        <w:rPr>
          <w:rFonts w:cs="Arial" w:hint="cs"/>
          <w:rtl/>
        </w:rPr>
        <w:t>التنمية</w:t>
      </w:r>
      <w:r w:rsidRPr="00247D3C">
        <w:rPr>
          <w:rFonts w:cs="Arial"/>
          <w:rtl/>
        </w:rPr>
        <w:t xml:space="preserve"> </w:t>
      </w:r>
      <w:r w:rsidRPr="00247D3C">
        <w:rPr>
          <w:rFonts w:cs="Arial" w:hint="cs"/>
          <w:rtl/>
        </w:rPr>
        <w:t>المستدامة</w:t>
      </w:r>
      <w:r w:rsidRPr="00247D3C">
        <w:rPr>
          <w:rFonts w:cs="Arial"/>
          <w:rtl/>
        </w:rPr>
        <w:t xml:space="preserve"> </w:t>
      </w:r>
      <w:r w:rsidRPr="00247D3C">
        <w:rPr>
          <w:rFonts w:cs="Arial" w:hint="cs"/>
          <w:rtl/>
        </w:rPr>
        <w:t>المتعلق</w:t>
      </w:r>
      <w:r w:rsidRPr="00247D3C">
        <w:rPr>
          <w:rFonts w:cs="Arial"/>
          <w:rtl/>
        </w:rPr>
        <w:t xml:space="preserve"> </w:t>
      </w:r>
      <w:r w:rsidRPr="00247D3C">
        <w:rPr>
          <w:rFonts w:cs="Arial" w:hint="cs"/>
          <w:rtl/>
        </w:rPr>
        <w:t>بالعمل</w:t>
      </w:r>
      <w:r w:rsidRPr="00247D3C">
        <w:rPr>
          <w:rFonts w:cs="Arial"/>
          <w:rtl/>
        </w:rPr>
        <w:t xml:space="preserve"> </w:t>
      </w:r>
      <w:r w:rsidRPr="00247D3C">
        <w:rPr>
          <w:rFonts w:cs="Arial" w:hint="cs"/>
          <w:rtl/>
        </w:rPr>
        <w:t>اللائق</w:t>
      </w:r>
      <w:r w:rsidRPr="00247D3C">
        <w:rPr>
          <w:rFonts w:cs="Arial"/>
          <w:rtl/>
        </w:rPr>
        <w:t xml:space="preserve"> </w:t>
      </w:r>
      <w:r w:rsidRPr="00247D3C">
        <w:rPr>
          <w:rFonts w:cs="Arial" w:hint="cs"/>
          <w:rtl/>
        </w:rPr>
        <w:t>والمساواة</w:t>
      </w:r>
      <w:r w:rsidRPr="00247D3C">
        <w:rPr>
          <w:rFonts w:cs="Arial"/>
          <w:rtl/>
        </w:rPr>
        <w:t xml:space="preserve"> </w:t>
      </w:r>
      <w:r w:rsidRPr="00247D3C">
        <w:rPr>
          <w:rFonts w:cs="Arial" w:hint="cs"/>
          <w:rtl/>
        </w:rPr>
        <w:t>في</w:t>
      </w:r>
      <w:r w:rsidRPr="00247D3C">
        <w:rPr>
          <w:rFonts w:cs="Arial"/>
          <w:rtl/>
        </w:rPr>
        <w:t xml:space="preserve"> </w:t>
      </w:r>
      <w:r w:rsidRPr="00247D3C">
        <w:rPr>
          <w:rFonts w:cs="Arial" w:hint="cs"/>
          <w:rtl/>
        </w:rPr>
        <w:t>الفرص</w:t>
      </w:r>
      <w:r w:rsidRPr="00247D3C">
        <w:rPr>
          <w:rFonts w:cs="Arial"/>
          <w:rtl/>
        </w:rPr>
        <w:t>.</w:t>
      </w:r>
    </w:p>
    <w:p w14:paraId="3DFD8061" w14:textId="691B351F" w:rsidR="00247D3C" w:rsidRPr="007540C9" w:rsidRDefault="00247D3C" w:rsidP="00247D3C">
      <w:pPr>
        <w:bidi/>
      </w:pPr>
      <w:r>
        <w:object w:dxaOrig="3811" w:dyaOrig="818" w14:anchorId="53D1E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40.9pt" o:ole="">
            <v:imagedata r:id="rId6" o:title=""/>
          </v:shape>
          <o:OLEObject Type="Embed" ProgID="Package" ShapeID="_x0000_i1025" DrawAspect="Content" ObjectID="_1823672147" r:id="rId7"/>
        </w:object>
      </w:r>
    </w:p>
    <w:p w14:paraId="0F652565" w14:textId="5418D8D1" w:rsidR="007540C9" w:rsidRPr="007540C9" w:rsidRDefault="007540C9" w:rsidP="007540C9">
      <w:pPr>
        <w:bidi/>
      </w:pPr>
    </w:p>
    <w:p w14:paraId="36583AE1" w14:textId="77777777" w:rsidR="007540C9" w:rsidRPr="007540C9" w:rsidRDefault="007540C9" w:rsidP="007540C9">
      <w:pPr>
        <w:bidi/>
        <w:rPr>
          <w:b/>
          <w:bCs/>
        </w:rPr>
      </w:pPr>
      <w:r w:rsidRPr="007540C9">
        <w:rPr>
          <w:b/>
          <w:bCs/>
          <w:rtl/>
        </w:rPr>
        <w:t>الاتساق مع المعايير الوطنية والدولية</w:t>
      </w:r>
    </w:p>
    <w:p w14:paraId="71D7A380" w14:textId="77777777" w:rsidR="007540C9" w:rsidRDefault="007540C9" w:rsidP="007540C9">
      <w:pPr>
        <w:bidi/>
      </w:pPr>
      <w:r w:rsidRPr="007540C9">
        <w:rPr>
          <w:rtl/>
        </w:rPr>
        <w:t>يعكس نظام التظلّم في الهيئة إرشادات منظمة العمل الدولية</w:t>
      </w:r>
      <w:r w:rsidRPr="007540C9">
        <w:t xml:space="preserve"> (ILO) </w:t>
      </w:r>
      <w:r w:rsidRPr="007540C9">
        <w:rPr>
          <w:rtl/>
        </w:rPr>
        <w:t>ويتوافق مع قوانين العمل الكويتية ذات الصلة</w:t>
      </w:r>
      <w:r w:rsidRPr="007540C9">
        <w:t>.</w:t>
      </w:r>
      <w:r w:rsidRPr="007540C9">
        <w:br/>
      </w:r>
      <w:r w:rsidRPr="007540C9">
        <w:rPr>
          <w:rtl/>
        </w:rPr>
        <w:t>وبالربط بين آليات الحل الداخلية والضمانات القانونية الخارجية، أصبحت الهيئة نموذجاً وطنياً في الشفافية والعدالة المؤسسية ضمن قطاع التعليم التطبيقي والفني في الكويت</w:t>
      </w:r>
      <w:r w:rsidRPr="007540C9">
        <w:t>.</w:t>
      </w:r>
    </w:p>
    <w:p w14:paraId="173C90DF" w14:textId="6C1E7F05" w:rsidR="00EF603C" w:rsidRPr="00EF603C" w:rsidRDefault="00EF603C" w:rsidP="00EF603C">
      <w:pPr>
        <w:bidi/>
      </w:pPr>
      <w:r w:rsidRPr="00EF603C">
        <w:rPr>
          <w:rtl/>
        </w:rPr>
        <w:t xml:space="preserve">حقق طلبة الهيئة العامة للتعليم التطبيقي والتدريب ميداليات ذهبية وفضية في المسابقة الوطنية للمهارات، تأكيدًا لنجاح الهيئة في تنمية المهارات التقنية وتعزيز قابلية التوظيف بين الشباب (المصدر: </w:t>
      </w:r>
      <w:hyperlink r:id="rId8" w:history="1">
        <w:r w:rsidRPr="00EF603C">
          <w:rPr>
            <w:rStyle w:val="Hyperlink"/>
            <w:rtl/>
          </w:rPr>
          <w:t>وكالة الأنباء الكويتية كونا</w:t>
        </w:r>
      </w:hyperlink>
      <w:r w:rsidRPr="00EF603C">
        <w:rPr>
          <w:rtl/>
        </w:rPr>
        <w:t>)</w:t>
      </w:r>
      <w:r w:rsidRPr="00EF603C">
        <w:t>.</w:t>
      </w:r>
    </w:p>
    <w:p w14:paraId="6CCCFFFD" w14:textId="77777777" w:rsidR="00EF603C" w:rsidRPr="00EF603C" w:rsidRDefault="00EF603C" w:rsidP="00EF603C">
      <w:pPr>
        <w:bidi/>
      </w:pPr>
    </w:p>
    <w:p w14:paraId="6D0DD642" w14:textId="0375AA74" w:rsidR="007540C9" w:rsidRPr="007540C9" w:rsidRDefault="007540C9" w:rsidP="007540C9">
      <w:pPr>
        <w:bidi/>
      </w:pPr>
    </w:p>
    <w:p w14:paraId="46E19D3C" w14:textId="77777777" w:rsidR="007540C9" w:rsidRPr="007540C9" w:rsidRDefault="007540C9" w:rsidP="007540C9">
      <w:pPr>
        <w:bidi/>
        <w:rPr>
          <w:b/>
          <w:bCs/>
        </w:rPr>
      </w:pPr>
      <w:r w:rsidRPr="007540C9">
        <w:rPr>
          <w:b/>
          <w:bCs/>
          <w:rtl/>
        </w:rPr>
        <w:t>ختاماً</w:t>
      </w:r>
    </w:p>
    <w:p w14:paraId="5859D8FE" w14:textId="77777777" w:rsidR="007540C9" w:rsidRPr="007540C9" w:rsidRDefault="007540C9" w:rsidP="007540C9">
      <w:pPr>
        <w:bidi/>
      </w:pPr>
      <w:r w:rsidRPr="007540C9">
        <w:rPr>
          <w:rtl/>
        </w:rPr>
        <w:t>من خلال إطارها المتكامل للتظلّمات والاستئناف، تضمن الهيئة العامة للتعليم التطبيقي والتدريب أن يُسمع كل صوت من موظفيها باحترام وإنصاف</w:t>
      </w:r>
      <w:r w:rsidRPr="007540C9">
        <w:t>.</w:t>
      </w:r>
      <w:r w:rsidRPr="007540C9">
        <w:br/>
      </w:r>
      <w:r w:rsidRPr="007540C9">
        <w:rPr>
          <w:rtl/>
        </w:rPr>
        <w:t>فهذا النظام المتعدد المستويات يعزز رفاه الموظفين وثقتهم بالمؤسسة، ويعكس التزام الهيئة العميق بالشفافية والمساءلة والحوكمة الأخلاقية</w:t>
      </w:r>
      <w:r w:rsidRPr="007540C9">
        <w:t>.</w:t>
      </w:r>
    </w:p>
    <w:p w14:paraId="09E66C15" w14:textId="77777777" w:rsidR="007540C9" w:rsidRPr="007540C9" w:rsidRDefault="007540C9" w:rsidP="007540C9">
      <w:pPr>
        <w:bidi/>
      </w:pPr>
      <w:r w:rsidRPr="007540C9">
        <w:rPr>
          <w:rtl/>
        </w:rPr>
        <w:t>وبذلك تسهم الهيئة بفاعلية في تحقيق الهدف الثامن (العمل اللائق والنمو الاقتصادي) والهدف السادس عشر (السلام والعدالة والمؤسسات القوية) من أهداف الأمم المتحدة للتنمية المستدامة</w:t>
      </w:r>
      <w:r w:rsidRPr="007540C9">
        <w:t>.</w:t>
      </w:r>
    </w:p>
    <w:p w14:paraId="67CD1301" w14:textId="00FCF5FD" w:rsidR="007540C9" w:rsidRPr="007540C9" w:rsidRDefault="007540C9" w:rsidP="007540C9">
      <w:pPr>
        <w:bidi/>
      </w:pPr>
      <w:r w:rsidRPr="007540C9">
        <w:rPr>
          <w:rtl/>
        </w:rPr>
        <w:t>في الهيئة العامة للتعليم التطبيقي والتدريب، العدالة ليست إجراءً تنظيماً، بل هي قيمة مؤسسية تُترجم إلى صوت مسموع واحترام مستحق لكل موظف</w:t>
      </w:r>
      <w:r w:rsidRPr="007540C9">
        <w:t>.</w:t>
      </w:r>
    </w:p>
    <w:p w14:paraId="3EAD3C73" w14:textId="77777777" w:rsidR="009511AA" w:rsidRPr="007540C9" w:rsidRDefault="009511AA" w:rsidP="007540C9">
      <w:pPr>
        <w:bidi/>
      </w:pPr>
    </w:p>
    <w:sectPr w:rsidR="009511AA" w:rsidRPr="0075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86003"/>
    <w:multiLevelType w:val="multilevel"/>
    <w:tmpl w:val="4710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3C3447"/>
    <w:multiLevelType w:val="multilevel"/>
    <w:tmpl w:val="8E30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37829"/>
    <w:multiLevelType w:val="multilevel"/>
    <w:tmpl w:val="327C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516848">
    <w:abstractNumId w:val="0"/>
  </w:num>
  <w:num w:numId="2" w16cid:durableId="723413835">
    <w:abstractNumId w:val="1"/>
  </w:num>
  <w:num w:numId="3" w16cid:durableId="743987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9"/>
    <w:rsid w:val="00041838"/>
    <w:rsid w:val="00082A65"/>
    <w:rsid w:val="0018555B"/>
    <w:rsid w:val="001E74A9"/>
    <w:rsid w:val="00247D3C"/>
    <w:rsid w:val="004947B0"/>
    <w:rsid w:val="005233FE"/>
    <w:rsid w:val="007540C9"/>
    <w:rsid w:val="007F111B"/>
    <w:rsid w:val="009511AA"/>
    <w:rsid w:val="00A8578B"/>
    <w:rsid w:val="00BE7F47"/>
    <w:rsid w:val="00EF603C"/>
    <w:rsid w:val="00F91273"/>
    <w:rsid w:val="00FD3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DC5E7"/>
  <w15:chartTrackingRefBased/>
  <w15:docId w15:val="{A8CC1980-00CC-454B-8633-B6A8116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0C9"/>
    <w:rPr>
      <w:rFonts w:eastAsiaTheme="majorEastAsia" w:cstheme="majorBidi"/>
      <w:color w:val="272727" w:themeColor="text1" w:themeTint="D8"/>
    </w:rPr>
  </w:style>
  <w:style w:type="paragraph" w:styleId="Title">
    <w:name w:val="Title"/>
    <w:basedOn w:val="Normal"/>
    <w:next w:val="Normal"/>
    <w:link w:val="TitleChar"/>
    <w:uiPriority w:val="10"/>
    <w:qFormat/>
    <w:rsid w:val="00754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0C9"/>
    <w:pPr>
      <w:spacing w:before="160"/>
      <w:jc w:val="center"/>
    </w:pPr>
    <w:rPr>
      <w:i/>
      <w:iCs/>
      <w:color w:val="404040" w:themeColor="text1" w:themeTint="BF"/>
    </w:rPr>
  </w:style>
  <w:style w:type="character" w:customStyle="1" w:styleId="QuoteChar">
    <w:name w:val="Quote Char"/>
    <w:basedOn w:val="DefaultParagraphFont"/>
    <w:link w:val="Quote"/>
    <w:uiPriority w:val="29"/>
    <w:rsid w:val="007540C9"/>
    <w:rPr>
      <w:i/>
      <w:iCs/>
      <w:color w:val="404040" w:themeColor="text1" w:themeTint="BF"/>
    </w:rPr>
  </w:style>
  <w:style w:type="paragraph" w:styleId="ListParagraph">
    <w:name w:val="List Paragraph"/>
    <w:basedOn w:val="Normal"/>
    <w:uiPriority w:val="34"/>
    <w:qFormat/>
    <w:rsid w:val="007540C9"/>
    <w:pPr>
      <w:ind w:left="720"/>
      <w:contextualSpacing/>
    </w:pPr>
  </w:style>
  <w:style w:type="character" w:styleId="IntenseEmphasis">
    <w:name w:val="Intense Emphasis"/>
    <w:basedOn w:val="DefaultParagraphFont"/>
    <w:uiPriority w:val="21"/>
    <w:qFormat/>
    <w:rsid w:val="007540C9"/>
    <w:rPr>
      <w:i/>
      <w:iCs/>
      <w:color w:val="0F4761" w:themeColor="accent1" w:themeShade="BF"/>
    </w:rPr>
  </w:style>
  <w:style w:type="paragraph" w:styleId="IntenseQuote">
    <w:name w:val="Intense Quote"/>
    <w:basedOn w:val="Normal"/>
    <w:next w:val="Normal"/>
    <w:link w:val="IntenseQuoteChar"/>
    <w:uiPriority w:val="30"/>
    <w:qFormat/>
    <w:rsid w:val="0075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0C9"/>
    <w:rPr>
      <w:i/>
      <w:iCs/>
      <w:color w:val="0F4761" w:themeColor="accent1" w:themeShade="BF"/>
    </w:rPr>
  </w:style>
  <w:style w:type="character" w:styleId="IntenseReference">
    <w:name w:val="Intense Reference"/>
    <w:basedOn w:val="DefaultParagraphFont"/>
    <w:uiPriority w:val="32"/>
    <w:qFormat/>
    <w:rsid w:val="007540C9"/>
    <w:rPr>
      <w:b/>
      <w:bCs/>
      <w:smallCaps/>
      <w:color w:val="0F4761" w:themeColor="accent1" w:themeShade="BF"/>
      <w:spacing w:val="5"/>
    </w:rPr>
  </w:style>
  <w:style w:type="character" w:styleId="Hyperlink">
    <w:name w:val="Hyperlink"/>
    <w:basedOn w:val="DefaultParagraphFont"/>
    <w:uiPriority w:val="99"/>
    <w:unhideWhenUsed/>
    <w:rsid w:val="00EF603C"/>
    <w:rPr>
      <w:color w:val="467886" w:themeColor="hyperlink"/>
      <w:u w:val="single"/>
    </w:rPr>
  </w:style>
  <w:style w:type="character" w:styleId="UnresolvedMention">
    <w:name w:val="Unresolved Mention"/>
    <w:basedOn w:val="DefaultParagraphFont"/>
    <w:uiPriority w:val="99"/>
    <w:semiHidden/>
    <w:unhideWhenUsed/>
    <w:rsid w:val="00EF6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na.net.kw/ArticleDetails.aspx?id=3256427&amp;Language=en"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609</Words>
  <Characters>3423</Characters>
  <Application>Microsoft Office Word</Application>
  <DocSecurity>0</DocSecurity>
  <Lines>68</Lines>
  <Paragraphs>35</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Adsani</dc:creator>
  <cp:keywords/>
  <dc:description/>
  <cp:lastModifiedBy>Ebrahim Abdulrazzaq ALadsani</cp:lastModifiedBy>
  <cp:revision>5</cp:revision>
  <dcterms:created xsi:type="dcterms:W3CDTF">2025-10-31T09:03:00Z</dcterms:created>
  <dcterms:modified xsi:type="dcterms:W3CDTF">2025-11-03T07:48:00Z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04e96e98-1507-40a3-9d7e-7aed17fc3d8e</vt:lpwstr>
  </property>
</Properties>
</file>