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D6072" w14:textId="77777777" w:rsidR="00545A85" w:rsidRPr="009C48D1" w:rsidRDefault="00545A85" w:rsidP="00545A85">
      <w:pPr>
        <w:bidi/>
        <w:rPr>
          <w:b/>
          <w:bCs/>
          <w:sz w:val="40"/>
          <w:szCs w:val="40"/>
        </w:rPr>
      </w:pPr>
      <w:r w:rsidRPr="009C48D1">
        <w:rPr>
          <w:b/>
          <w:bCs/>
          <w:sz w:val="40"/>
          <w:szCs w:val="40"/>
          <w:rtl/>
        </w:rPr>
        <w:t>المسؤولية الأخلاقية تتجاوز نطاق التوظيف المباشر</w:t>
      </w:r>
    </w:p>
    <w:p w14:paraId="1D29B7A7" w14:textId="77777777" w:rsidR="00545A85" w:rsidRPr="00545A85" w:rsidRDefault="00545A85" w:rsidP="00545A85">
      <w:pPr>
        <w:bidi/>
      </w:pPr>
      <w:r w:rsidRPr="00545A85">
        <w:rPr>
          <w:rtl/>
        </w:rPr>
        <w:t>تُدرك الهيئة العامة للتعليم التطبيقي والتدريب</w:t>
      </w:r>
      <w:r w:rsidRPr="00545A85">
        <w:t xml:space="preserve"> (PAAET) </w:t>
      </w:r>
      <w:r w:rsidRPr="00545A85">
        <w:rPr>
          <w:rtl/>
        </w:rPr>
        <w:t>أن مسؤولياتها الأخلاقية والاجتماعية لا تقتصر على موظفيها المباشرين، بل تمتد لتشمل آلاف العاملين ضمن خدمات التعاقد الخارجي مثل الأمن، والنظافة، والضيافة، والصيانة، وغيرها من الخدمات المساندة</w:t>
      </w:r>
      <w:r w:rsidRPr="00545A85">
        <w:t>.</w:t>
      </w:r>
    </w:p>
    <w:p w14:paraId="64774B05" w14:textId="77777777" w:rsidR="00545A85" w:rsidRPr="00545A85" w:rsidRDefault="00545A85" w:rsidP="00545A85">
      <w:pPr>
        <w:bidi/>
      </w:pPr>
      <w:r w:rsidRPr="00545A85">
        <w:rPr>
          <w:rtl/>
        </w:rPr>
        <w:t>وانطلاقاً من قانون العمل الكويتي رقم (6) لسنة 2010، ورؤية الكويت 2035، وأهداف الأمم المتحدة للتنمية المستدامة</w:t>
      </w:r>
      <w:r w:rsidRPr="00545A85">
        <w:t xml:space="preserve"> (SDGs)</w:t>
      </w:r>
      <w:r w:rsidRPr="00545A85">
        <w:rPr>
          <w:rtl/>
        </w:rPr>
        <w:t>، تضمن الهيئة أن يحظى كل عامل – سواء كان موظفاً مباشراً أو تابعاً لمتعهد خارجي – بمعاملة عادلة وكريمة وبحماية قانونية كاملة</w:t>
      </w:r>
      <w:r w:rsidRPr="00545A85">
        <w:t>.</w:t>
      </w:r>
    </w:p>
    <w:p w14:paraId="61955FFF" w14:textId="09158F3C" w:rsidR="00545A85" w:rsidRPr="00545A85" w:rsidRDefault="00545A85" w:rsidP="00545A85">
      <w:pPr>
        <w:bidi/>
      </w:pPr>
    </w:p>
    <w:p w14:paraId="3A90A888" w14:textId="77777777" w:rsidR="00545A85" w:rsidRPr="00545A85" w:rsidRDefault="00545A85" w:rsidP="00545A85">
      <w:pPr>
        <w:bidi/>
        <w:rPr>
          <w:b/>
          <w:bCs/>
        </w:rPr>
      </w:pPr>
      <w:r w:rsidRPr="00545A85">
        <w:rPr>
          <w:b/>
          <w:bCs/>
          <w:rtl/>
        </w:rPr>
        <w:t>ميثاق الموردين: التزام أخلاقي ملزم</w:t>
      </w:r>
    </w:p>
    <w:p w14:paraId="5A9E3CA6" w14:textId="77777777" w:rsidR="00545A85" w:rsidRPr="00545A85" w:rsidRDefault="00545A85" w:rsidP="00545A85">
      <w:pPr>
        <w:bidi/>
      </w:pPr>
      <w:r w:rsidRPr="00545A85">
        <w:rPr>
          <w:rtl/>
        </w:rPr>
        <w:t xml:space="preserve">تُلزم الهيئة جميع الشركات المتعاقدة معها بالامتثال لـ </w:t>
      </w:r>
      <w:r w:rsidRPr="00545A85">
        <w:t>“</w:t>
      </w:r>
      <w:r w:rsidRPr="00545A85">
        <w:rPr>
          <w:rtl/>
        </w:rPr>
        <w:t>ميثاق الموردين</w:t>
      </w:r>
      <w:r w:rsidRPr="00545A85">
        <w:t>”</w:t>
      </w:r>
      <w:r w:rsidRPr="00545A85">
        <w:rPr>
          <w:rtl/>
        </w:rPr>
        <w:t>، وهو وثيقة قانونية مُلزمة تفرض الالتزام بقوانين العمل الكويتية والمعايير الدولية لأخلاقيات العمل</w:t>
      </w:r>
      <w:r w:rsidRPr="00545A85">
        <w:t>.</w:t>
      </w:r>
    </w:p>
    <w:p w14:paraId="0389A4F1" w14:textId="77777777" w:rsidR="00545A85" w:rsidRPr="00545A85" w:rsidRDefault="00545A85" w:rsidP="00545A85">
      <w:pPr>
        <w:bidi/>
      </w:pPr>
      <w:r w:rsidRPr="00545A85">
        <w:rPr>
          <w:rtl/>
        </w:rPr>
        <w:t xml:space="preserve">ويُحدد الميثاق الحد الأدنى من التوقعات في </w:t>
      </w:r>
      <w:proofErr w:type="gramStart"/>
      <w:r w:rsidRPr="00545A85">
        <w:rPr>
          <w:rtl/>
        </w:rPr>
        <w:t>ثلاثة</w:t>
      </w:r>
      <w:proofErr w:type="gramEnd"/>
      <w:r w:rsidRPr="00545A85">
        <w:rPr>
          <w:rtl/>
        </w:rPr>
        <w:t xml:space="preserve"> مجالات رئيسية</w:t>
      </w:r>
      <w:r w:rsidRPr="00545A85">
        <w:t>:</w:t>
      </w:r>
    </w:p>
    <w:p w14:paraId="528975F6" w14:textId="77777777" w:rsidR="00545A85" w:rsidRPr="00545A85" w:rsidRDefault="00545A85" w:rsidP="00545A85">
      <w:pPr>
        <w:numPr>
          <w:ilvl w:val="0"/>
          <w:numId w:val="1"/>
        </w:numPr>
        <w:bidi/>
      </w:pPr>
      <w:r w:rsidRPr="00545A85">
        <w:rPr>
          <w:rtl/>
        </w:rPr>
        <w:t>الأجور العادلة والعقود القانونية</w:t>
      </w:r>
      <w:r w:rsidRPr="00545A85">
        <w:t xml:space="preserve">: </w:t>
      </w:r>
      <w:r w:rsidRPr="00545A85">
        <w:rPr>
          <w:rtl/>
        </w:rPr>
        <w:t>يجب على جميع الموردين ضمان صرف الأجور القانونية في مواعيدها وتوفير عقود عمل موثقة وصحيحة</w:t>
      </w:r>
      <w:r w:rsidRPr="00545A85">
        <w:t>.</w:t>
      </w:r>
    </w:p>
    <w:p w14:paraId="7E7F31FC" w14:textId="77777777" w:rsidR="00545A85" w:rsidRPr="00545A85" w:rsidRDefault="00545A85" w:rsidP="00545A85">
      <w:pPr>
        <w:numPr>
          <w:ilvl w:val="0"/>
          <w:numId w:val="1"/>
        </w:numPr>
        <w:bidi/>
      </w:pPr>
      <w:r w:rsidRPr="00545A85">
        <w:rPr>
          <w:rtl/>
        </w:rPr>
        <w:t>بيئة عمل آمنة ومحترمة</w:t>
      </w:r>
      <w:r w:rsidRPr="00545A85">
        <w:t xml:space="preserve">: </w:t>
      </w:r>
      <w:r w:rsidRPr="00545A85">
        <w:rPr>
          <w:rtl/>
        </w:rPr>
        <w:t>يتعين على المقاولين الالتزام بمعايير السلامة المهنية المكافئة لتلك المطبقة على موظفي الهيئة</w:t>
      </w:r>
      <w:r w:rsidRPr="00545A85">
        <w:t>.</w:t>
      </w:r>
    </w:p>
    <w:p w14:paraId="70AD85A8" w14:textId="77777777" w:rsidR="00545A85" w:rsidRPr="00545A85" w:rsidRDefault="00545A85" w:rsidP="00545A85">
      <w:pPr>
        <w:numPr>
          <w:ilvl w:val="0"/>
          <w:numId w:val="1"/>
        </w:numPr>
        <w:bidi/>
      </w:pPr>
      <w:r w:rsidRPr="00545A85">
        <w:rPr>
          <w:rtl/>
        </w:rPr>
        <w:t>حظر الممارسات الاستغلالية</w:t>
      </w:r>
      <w:r w:rsidRPr="00545A85">
        <w:t xml:space="preserve">: </w:t>
      </w:r>
      <w:r w:rsidRPr="00545A85">
        <w:rPr>
          <w:rtl/>
        </w:rPr>
        <w:t>يُمنع منعاً باتاً أي شكل من أشكال الإكراه أو حجز جوازات السفر أو تأخير الرواتب</w:t>
      </w:r>
      <w:r w:rsidRPr="00545A85">
        <w:t>.</w:t>
      </w:r>
    </w:p>
    <w:p w14:paraId="4BED7AA3" w14:textId="77777777" w:rsidR="00545A85" w:rsidRPr="00545A85" w:rsidRDefault="00545A85" w:rsidP="00545A85">
      <w:pPr>
        <w:bidi/>
      </w:pPr>
      <w:r w:rsidRPr="00545A85">
        <w:rPr>
          <w:rtl/>
        </w:rPr>
        <w:t>من خلال هذا الإطار، تمتد قيم العدالة والنزاهة والمسؤولية لتشمل جميع شركاء الهيئة في سلسلة التوريد</w:t>
      </w:r>
      <w:r w:rsidRPr="00545A85">
        <w:t>.</w:t>
      </w:r>
    </w:p>
    <w:p w14:paraId="7711FB19" w14:textId="49056706" w:rsidR="00545A85" w:rsidRPr="00545A85" w:rsidRDefault="00545A85" w:rsidP="00545A85">
      <w:pPr>
        <w:bidi/>
      </w:pPr>
    </w:p>
    <w:p w14:paraId="07DAF315" w14:textId="77777777" w:rsidR="00545A85" w:rsidRPr="00545A85" w:rsidRDefault="00545A85" w:rsidP="00545A85">
      <w:pPr>
        <w:bidi/>
        <w:rPr>
          <w:b/>
          <w:bCs/>
        </w:rPr>
      </w:pPr>
      <w:r w:rsidRPr="00545A85">
        <w:rPr>
          <w:b/>
          <w:bCs/>
          <w:rtl/>
        </w:rPr>
        <w:t>تطبيق الالتزام من خلال العقود والحوكمة</w:t>
      </w:r>
    </w:p>
    <w:p w14:paraId="75AC2FFD" w14:textId="77777777" w:rsidR="00545A85" w:rsidRPr="00545A85" w:rsidRDefault="00545A85" w:rsidP="00545A85">
      <w:pPr>
        <w:bidi/>
      </w:pPr>
      <w:r w:rsidRPr="00545A85">
        <w:rPr>
          <w:rtl/>
        </w:rPr>
        <w:t>تُحوّل الهيئة التزاماتها الأخلاقية إلى ممارسات مُلزمة من خلال سياسة المشتريات وإدارة العقود التي تتضمن آليات رقابية واضحة، تشمل</w:t>
      </w:r>
      <w:r w:rsidRPr="00545A85">
        <w:t>:</w:t>
      </w:r>
    </w:p>
    <w:p w14:paraId="69B9E210" w14:textId="77777777" w:rsidR="00545A85" w:rsidRPr="00545A85" w:rsidRDefault="00545A85" w:rsidP="00545A85">
      <w:pPr>
        <w:numPr>
          <w:ilvl w:val="0"/>
          <w:numId w:val="2"/>
        </w:numPr>
        <w:bidi/>
      </w:pPr>
      <w:r w:rsidRPr="00545A85">
        <w:rPr>
          <w:rtl/>
        </w:rPr>
        <w:t>بنود عمل إلزامية</w:t>
      </w:r>
      <w:r w:rsidRPr="00545A85">
        <w:t xml:space="preserve">: </w:t>
      </w:r>
      <w:r w:rsidRPr="00545A85">
        <w:rPr>
          <w:rtl/>
        </w:rPr>
        <w:t>جميع العقود تحتوي على نصوص صريحة تُلزم بالامتثال لقانون العمل الكويتي والتحقق من صلاحية إقامة العاملين (الإقامات)</w:t>
      </w:r>
      <w:r w:rsidRPr="00545A85">
        <w:t>.</w:t>
      </w:r>
    </w:p>
    <w:p w14:paraId="1B22620C" w14:textId="77777777" w:rsidR="00545A85" w:rsidRPr="00545A85" w:rsidRDefault="00545A85" w:rsidP="00545A85">
      <w:pPr>
        <w:numPr>
          <w:ilvl w:val="0"/>
          <w:numId w:val="2"/>
        </w:numPr>
        <w:bidi/>
      </w:pPr>
      <w:r w:rsidRPr="00545A85">
        <w:rPr>
          <w:rtl/>
        </w:rPr>
        <w:t>حق المراجعة والتدقيق</w:t>
      </w:r>
      <w:r w:rsidRPr="00545A85">
        <w:t xml:space="preserve">: </w:t>
      </w:r>
      <w:r w:rsidRPr="00545A85">
        <w:rPr>
          <w:rtl/>
        </w:rPr>
        <w:t>تحتفظ الهيئة بحقها في مراجعة المستندات والعقود وسجلات الرواتب للتحقق من التزام الموردين بحقوق العاملين</w:t>
      </w:r>
      <w:r w:rsidRPr="00545A85">
        <w:t>.</w:t>
      </w:r>
    </w:p>
    <w:p w14:paraId="11181EDC" w14:textId="77777777" w:rsidR="00545A85" w:rsidRPr="00545A85" w:rsidRDefault="00545A85" w:rsidP="00545A85">
      <w:pPr>
        <w:numPr>
          <w:ilvl w:val="0"/>
          <w:numId w:val="2"/>
        </w:numPr>
        <w:bidi/>
      </w:pPr>
      <w:r w:rsidRPr="00545A85">
        <w:rPr>
          <w:rtl/>
        </w:rPr>
        <w:t>إجراءات تصحيحية أو إنهاء العقود</w:t>
      </w:r>
      <w:r w:rsidRPr="00545A85">
        <w:t xml:space="preserve">: </w:t>
      </w:r>
      <w:r w:rsidRPr="00545A85">
        <w:rPr>
          <w:rtl/>
        </w:rPr>
        <w:t>في حال المخالفة المتكررة، يحق للهيئة إلغاء العقد أو فرض خطة تصحيح ملزمة</w:t>
      </w:r>
      <w:r w:rsidRPr="00545A85">
        <w:t>.</w:t>
      </w:r>
    </w:p>
    <w:p w14:paraId="65648FBF" w14:textId="77777777" w:rsidR="00545A85" w:rsidRDefault="00545A85" w:rsidP="00545A85">
      <w:pPr>
        <w:bidi/>
        <w:rPr>
          <w:rtl/>
        </w:rPr>
      </w:pPr>
      <w:r w:rsidRPr="00545A85">
        <w:rPr>
          <w:rtl/>
        </w:rPr>
        <w:lastRenderedPageBreak/>
        <w:t xml:space="preserve">ويُعرف هذا النموذج باسم </w:t>
      </w:r>
      <w:r w:rsidRPr="00545A85">
        <w:t>“</w:t>
      </w:r>
      <w:r w:rsidRPr="00545A85">
        <w:rPr>
          <w:rtl/>
        </w:rPr>
        <w:t>المساءلة المتسلسلة</w:t>
      </w:r>
      <w:r w:rsidRPr="00545A85">
        <w:t>” (Cascading Accountability Model)</w:t>
      </w:r>
      <w:r w:rsidRPr="00545A85">
        <w:rPr>
          <w:rtl/>
        </w:rPr>
        <w:t>، الذي يضمن امتداد التزامات الهيئة الأخلاقية إلى جميع مستويات سلسلة التوريد والخدمات</w:t>
      </w:r>
      <w:r w:rsidRPr="00545A85">
        <w:t>.</w:t>
      </w:r>
    </w:p>
    <w:p w14:paraId="641E40D9" w14:textId="50BFD90B" w:rsidR="0019708F" w:rsidRDefault="0019708F" w:rsidP="0019708F">
      <w:pPr>
        <w:bidi/>
        <w:rPr>
          <w:rtl/>
        </w:rPr>
      </w:pPr>
      <w:r>
        <w:object w:dxaOrig="4141" w:dyaOrig="818" w14:anchorId="6AF64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40.9pt" o:ole="">
            <v:imagedata r:id="rId5" o:title=""/>
          </v:shape>
          <o:OLEObject Type="Embed" ProgID="Package" ShapeID="_x0000_i1025" DrawAspect="Content" ObjectID="_1823611745" r:id="rId6"/>
        </w:object>
      </w:r>
    </w:p>
    <w:p w14:paraId="302FEA5E" w14:textId="0FA1B71D" w:rsidR="00545A85" w:rsidRPr="00545A85" w:rsidRDefault="00545A85" w:rsidP="00545A85">
      <w:pPr>
        <w:bidi/>
      </w:pPr>
    </w:p>
    <w:p w14:paraId="393EDE22" w14:textId="77777777" w:rsidR="00545A85" w:rsidRPr="00545A85" w:rsidRDefault="00545A85" w:rsidP="00545A85">
      <w:pPr>
        <w:bidi/>
        <w:rPr>
          <w:b/>
          <w:bCs/>
        </w:rPr>
      </w:pPr>
      <w:r w:rsidRPr="00545A85">
        <w:rPr>
          <w:b/>
          <w:bCs/>
          <w:rtl/>
        </w:rPr>
        <w:t>تعزيز الشفافية والرقابة</w:t>
      </w:r>
    </w:p>
    <w:p w14:paraId="3BDC8ADB" w14:textId="77777777" w:rsidR="00545A85" w:rsidRPr="00545A85" w:rsidRDefault="00545A85" w:rsidP="00545A85">
      <w:pPr>
        <w:bidi/>
      </w:pPr>
      <w:r w:rsidRPr="00545A85">
        <w:rPr>
          <w:rtl/>
        </w:rPr>
        <w:t>تسعى الهيئة بشكل مستمر إلى تعزيز النزاهة المؤسسية في عمليات الشراء والتعاقد من خلال مجموعة من الإجراءات التطويرية، تشمل</w:t>
      </w:r>
      <w:r w:rsidRPr="00545A85">
        <w:t>:</w:t>
      </w:r>
    </w:p>
    <w:p w14:paraId="16C7B87F" w14:textId="77777777" w:rsidR="00545A85" w:rsidRPr="00545A85" w:rsidRDefault="00545A85" w:rsidP="00545A85">
      <w:pPr>
        <w:numPr>
          <w:ilvl w:val="0"/>
          <w:numId w:val="3"/>
        </w:numPr>
        <w:bidi/>
      </w:pPr>
      <w:r w:rsidRPr="00545A85">
        <w:rPr>
          <w:rtl/>
        </w:rPr>
        <w:t>فحص مسبق للمقاولين بناءً على أدائهم في مجال حقوق العمال قبل منح العقود</w:t>
      </w:r>
      <w:r w:rsidRPr="00545A85">
        <w:t>.</w:t>
      </w:r>
    </w:p>
    <w:p w14:paraId="06FD97D0" w14:textId="77777777" w:rsidR="00545A85" w:rsidRPr="00545A85" w:rsidRDefault="00545A85" w:rsidP="00545A85">
      <w:pPr>
        <w:numPr>
          <w:ilvl w:val="0"/>
          <w:numId w:val="3"/>
        </w:numPr>
        <w:bidi/>
      </w:pPr>
      <w:proofErr w:type="spellStart"/>
      <w:r w:rsidRPr="00545A85">
        <w:rPr>
          <w:rtl/>
        </w:rPr>
        <w:t>تدقيقات</w:t>
      </w:r>
      <w:proofErr w:type="spellEnd"/>
      <w:r w:rsidRPr="00545A85">
        <w:rPr>
          <w:rtl/>
        </w:rPr>
        <w:t xml:space="preserve"> موجهة للقطاعات عالية المخاطر مثل خدمات النظافة والإطعام والصيانة</w:t>
      </w:r>
      <w:r w:rsidRPr="00545A85">
        <w:t>.</w:t>
      </w:r>
    </w:p>
    <w:p w14:paraId="49B5B877" w14:textId="7B276E7B" w:rsidR="00545A85" w:rsidRPr="00545A85" w:rsidRDefault="00545A85" w:rsidP="00545A85">
      <w:pPr>
        <w:numPr>
          <w:ilvl w:val="0"/>
          <w:numId w:val="3"/>
        </w:numPr>
        <w:bidi/>
      </w:pPr>
      <w:r w:rsidRPr="00545A85">
        <w:rPr>
          <w:rtl/>
        </w:rPr>
        <w:t>برامج تدريبية لموظفي المشتريات والموارد البشرية لتعريفهم بأساليب رصد المخاطر المحتملة في مجال حقوق العمالة</w:t>
      </w:r>
      <w:r w:rsidRPr="00545A85">
        <w:t>.</w:t>
      </w:r>
    </w:p>
    <w:p w14:paraId="5B728605" w14:textId="3560E253" w:rsidR="00545A85" w:rsidRDefault="00545A85" w:rsidP="00545A85">
      <w:pPr>
        <w:numPr>
          <w:ilvl w:val="0"/>
          <w:numId w:val="3"/>
        </w:numPr>
        <w:bidi/>
      </w:pPr>
      <w:r w:rsidRPr="00545A85">
        <w:rPr>
          <w:rtl/>
        </w:rPr>
        <w:t>التعاون مع ديوان الخدمة المدنية ووزارة الشؤون الاجتماعية والعمل لضمان الامتثال الكامل للقوانين والسياسات الوطنية</w:t>
      </w:r>
      <w:r w:rsidRPr="00545A85">
        <w:t>.</w:t>
      </w:r>
    </w:p>
    <w:p w14:paraId="75A22E87" w14:textId="32C64D36" w:rsidR="005873A2" w:rsidRPr="00545A85" w:rsidRDefault="005873A2" w:rsidP="005873A2">
      <w:pPr>
        <w:bidi/>
        <w:ind w:left="720"/>
      </w:pPr>
      <w:r>
        <w:rPr>
          <w:rFonts w:hint="cs"/>
          <w:b/>
          <w:bCs/>
          <w:noProof/>
          <w:sz w:val="28"/>
          <w:szCs w:val="28"/>
          <w:rtl/>
          <w:lang w:val="ar-KW" w:bidi="ar-KW"/>
        </w:rPr>
        <w:drawing>
          <wp:anchor distT="0" distB="0" distL="114300" distR="114300" simplePos="0" relativeHeight="251659264" behindDoc="0" locked="0" layoutInCell="1" allowOverlap="1" wp14:anchorId="4BE9B5A8" wp14:editId="4FB8CD5F">
            <wp:simplePos x="0" y="0"/>
            <wp:positionH relativeFrom="column">
              <wp:posOffset>633412</wp:posOffset>
            </wp:positionH>
            <wp:positionV relativeFrom="paragraph">
              <wp:posOffset>4127</wp:posOffset>
            </wp:positionV>
            <wp:extent cx="4867275" cy="3310761"/>
            <wp:effectExtent l="0" t="0" r="0" b="4445"/>
            <wp:wrapNone/>
            <wp:docPr id="823971763"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71763" name="Picture 1" descr="A group of people standing in a roo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7275" cy="3310761"/>
                    </a:xfrm>
                    <a:prstGeom prst="rect">
                      <a:avLst/>
                    </a:prstGeom>
                  </pic:spPr>
                </pic:pic>
              </a:graphicData>
            </a:graphic>
            <wp14:sizeRelH relativeFrom="margin">
              <wp14:pctWidth>0</wp14:pctWidth>
            </wp14:sizeRelH>
            <wp14:sizeRelV relativeFrom="margin">
              <wp14:pctHeight>0</wp14:pctHeight>
            </wp14:sizeRelV>
          </wp:anchor>
        </w:drawing>
      </w:r>
    </w:p>
    <w:p w14:paraId="490D198A" w14:textId="567233C8" w:rsidR="00545A85" w:rsidRDefault="00545A85" w:rsidP="00545A85">
      <w:pPr>
        <w:bidi/>
        <w:rPr>
          <w:rtl/>
        </w:rPr>
      </w:pPr>
    </w:p>
    <w:p w14:paraId="50A5D1D1" w14:textId="77777777" w:rsidR="005873A2" w:rsidRDefault="005873A2" w:rsidP="005873A2">
      <w:pPr>
        <w:bidi/>
        <w:rPr>
          <w:rtl/>
        </w:rPr>
      </w:pPr>
    </w:p>
    <w:p w14:paraId="4F399D2A" w14:textId="77777777" w:rsidR="005873A2" w:rsidRDefault="005873A2" w:rsidP="005873A2">
      <w:pPr>
        <w:bidi/>
        <w:rPr>
          <w:rtl/>
        </w:rPr>
      </w:pPr>
    </w:p>
    <w:p w14:paraId="27D0B075" w14:textId="77777777" w:rsidR="005873A2" w:rsidRDefault="005873A2" w:rsidP="005873A2">
      <w:pPr>
        <w:bidi/>
        <w:rPr>
          <w:rtl/>
        </w:rPr>
      </w:pPr>
    </w:p>
    <w:p w14:paraId="16FF0AC1" w14:textId="77777777" w:rsidR="005873A2" w:rsidRDefault="005873A2" w:rsidP="005873A2">
      <w:pPr>
        <w:bidi/>
        <w:rPr>
          <w:rtl/>
        </w:rPr>
      </w:pPr>
    </w:p>
    <w:p w14:paraId="77D8B45E" w14:textId="77777777" w:rsidR="005873A2" w:rsidRDefault="005873A2" w:rsidP="005873A2">
      <w:pPr>
        <w:bidi/>
        <w:rPr>
          <w:rtl/>
        </w:rPr>
      </w:pPr>
    </w:p>
    <w:p w14:paraId="57F74634" w14:textId="77777777" w:rsidR="005873A2" w:rsidRDefault="005873A2" w:rsidP="005873A2">
      <w:pPr>
        <w:bidi/>
        <w:rPr>
          <w:rtl/>
        </w:rPr>
      </w:pPr>
    </w:p>
    <w:p w14:paraId="5EEADE0A" w14:textId="77777777" w:rsidR="005873A2" w:rsidRDefault="005873A2" w:rsidP="005873A2">
      <w:pPr>
        <w:bidi/>
        <w:rPr>
          <w:rtl/>
        </w:rPr>
      </w:pPr>
    </w:p>
    <w:p w14:paraId="216BD904" w14:textId="77777777" w:rsidR="005873A2" w:rsidRDefault="005873A2" w:rsidP="005873A2">
      <w:pPr>
        <w:bidi/>
        <w:rPr>
          <w:rtl/>
        </w:rPr>
      </w:pPr>
    </w:p>
    <w:p w14:paraId="2E6E5F45" w14:textId="77777777" w:rsidR="005873A2" w:rsidRDefault="005873A2" w:rsidP="005873A2">
      <w:pPr>
        <w:bidi/>
        <w:rPr>
          <w:rtl/>
        </w:rPr>
      </w:pPr>
    </w:p>
    <w:p w14:paraId="326CBBC2" w14:textId="77777777" w:rsidR="005873A2" w:rsidRPr="005873A2" w:rsidRDefault="005873A2" w:rsidP="005873A2">
      <w:pPr>
        <w:bidi/>
        <w:spacing w:after="0" w:line="240" w:lineRule="auto"/>
        <w:jc w:val="center"/>
        <w:rPr>
          <w:b/>
          <w:bCs/>
        </w:rPr>
      </w:pPr>
      <w:r w:rsidRPr="005873A2">
        <w:rPr>
          <w:b/>
          <w:bCs/>
          <w:rtl/>
        </w:rPr>
        <w:t xml:space="preserve">اعتمد مدير عام الهيئة د. حسن محمد </w:t>
      </w:r>
      <w:proofErr w:type="spellStart"/>
      <w:r w:rsidRPr="005873A2">
        <w:rPr>
          <w:b/>
          <w:bCs/>
          <w:rtl/>
        </w:rPr>
        <w:t>الفجّام</w:t>
      </w:r>
      <w:proofErr w:type="spellEnd"/>
      <w:r w:rsidRPr="005873A2">
        <w:rPr>
          <w:b/>
          <w:bCs/>
          <w:rtl/>
        </w:rPr>
        <w:t xml:space="preserve"> التقرير النهائي لفريق الحوكمة المؤسسية للهيئة العامة للتعليم التطبيقي والتدريب لعام 2024–2025، تعزيزًا لمبادئ الشفافية والمساءلة والحوكمة الرشيدة</w:t>
      </w:r>
      <w:r w:rsidRPr="005873A2">
        <w:rPr>
          <w:b/>
          <w:bCs/>
        </w:rPr>
        <w:t>.</w:t>
      </w:r>
    </w:p>
    <w:p w14:paraId="32AD7DCE" w14:textId="77777777" w:rsidR="005873A2" w:rsidRPr="005873A2" w:rsidRDefault="005873A2" w:rsidP="005873A2">
      <w:pPr>
        <w:bidi/>
        <w:rPr>
          <w:rtl/>
        </w:rPr>
      </w:pPr>
    </w:p>
    <w:p w14:paraId="15AB6BA2" w14:textId="77777777" w:rsidR="005873A2" w:rsidRDefault="005873A2" w:rsidP="005873A2">
      <w:pPr>
        <w:bidi/>
        <w:rPr>
          <w:rtl/>
        </w:rPr>
      </w:pPr>
    </w:p>
    <w:p w14:paraId="5AEF808C" w14:textId="77777777" w:rsidR="005873A2" w:rsidRPr="00545A85" w:rsidRDefault="005873A2" w:rsidP="005873A2">
      <w:pPr>
        <w:bidi/>
      </w:pPr>
    </w:p>
    <w:p w14:paraId="16998C1E" w14:textId="77777777" w:rsidR="00545A85" w:rsidRPr="00545A85" w:rsidRDefault="00545A85" w:rsidP="00545A85">
      <w:pPr>
        <w:bidi/>
        <w:rPr>
          <w:b/>
          <w:bCs/>
        </w:rPr>
      </w:pPr>
      <w:r w:rsidRPr="00545A85">
        <w:rPr>
          <w:b/>
          <w:bCs/>
          <w:rtl/>
        </w:rPr>
        <w:t>نموذج للمشتريات الأخلاقية الشاملة</w:t>
      </w:r>
    </w:p>
    <w:p w14:paraId="1BA10B3B" w14:textId="77777777" w:rsidR="00545A85" w:rsidRPr="00545A85" w:rsidRDefault="00545A85" w:rsidP="00545A85">
      <w:pPr>
        <w:bidi/>
      </w:pPr>
      <w:r w:rsidRPr="00545A85">
        <w:rPr>
          <w:rtl/>
        </w:rPr>
        <w:t>من خلال دمج معايير حماية العاملين في جميع إجراءات التعاقد، تضمن الهيئة أن يحظى موظفو العقود الخارجية بنفس الحقوق والحماية التي يتمتع بها موظفوها المباشرون</w:t>
      </w:r>
      <w:r w:rsidRPr="00545A85">
        <w:t>.</w:t>
      </w:r>
      <w:r w:rsidRPr="00545A85">
        <w:br/>
      </w:r>
      <w:r w:rsidRPr="00545A85">
        <w:rPr>
          <w:rtl/>
        </w:rPr>
        <w:t>وتُحوّل الهيئة بذلك العقود إلى أدوات لتحقيق المسؤولية الاجتماعية والحوكمة المستدامة، مما يعزز العدالة والإنصاف في جميع مراحل التشغيل</w:t>
      </w:r>
      <w:r w:rsidRPr="00545A85">
        <w:t>.</w:t>
      </w:r>
    </w:p>
    <w:p w14:paraId="0C388FFB" w14:textId="77777777" w:rsidR="00545A85" w:rsidRPr="00545A85" w:rsidRDefault="00545A85" w:rsidP="00545A85">
      <w:pPr>
        <w:bidi/>
      </w:pPr>
      <w:r w:rsidRPr="00545A85">
        <w:rPr>
          <w:rtl/>
        </w:rPr>
        <w:t>وبفضل هذا النهج، تُجسّد الهيئة نموذجاً رائداً في مجال التوظيف الأخلاقي والحوكمة المسؤولة، وتسهم بفاعلية في تحقيق الهدف الثامن (العمل اللائق والنمو الاقتصادي) والهدف السادس عشر (السلام والعدالة والمؤسسات القوية) من أهداف التنمية المستدامة</w:t>
      </w:r>
      <w:r w:rsidRPr="00545A85">
        <w:t>.</w:t>
      </w:r>
    </w:p>
    <w:p w14:paraId="02285AF7" w14:textId="456469AC" w:rsidR="00545A85" w:rsidRPr="0019708F" w:rsidRDefault="00545A85" w:rsidP="00545A85">
      <w:pPr>
        <w:bidi/>
      </w:pPr>
    </w:p>
    <w:p w14:paraId="613655B9" w14:textId="77777777" w:rsidR="00545A85" w:rsidRPr="00545A85" w:rsidRDefault="00545A85" w:rsidP="00545A85">
      <w:pPr>
        <w:bidi/>
        <w:rPr>
          <w:b/>
          <w:bCs/>
        </w:rPr>
      </w:pPr>
      <w:r w:rsidRPr="00545A85">
        <w:rPr>
          <w:b/>
          <w:bCs/>
          <w:rtl/>
        </w:rPr>
        <w:t>ختاماً</w:t>
      </w:r>
    </w:p>
    <w:p w14:paraId="7C83898D" w14:textId="77777777" w:rsidR="00545A85" w:rsidRPr="00545A85" w:rsidRDefault="00545A85" w:rsidP="00545A85">
      <w:pPr>
        <w:bidi/>
      </w:pPr>
      <w:r w:rsidRPr="00545A85">
        <w:rPr>
          <w:rtl/>
        </w:rPr>
        <w:t>تحمي الهيئة العامة للتعليم التطبيقي والتدريب حقوق جميع الأفراد العاملين ضمن منشآتها — سواء كانوا موظفين مباشرين أو تابعين لمتعهدين خارجيين</w:t>
      </w:r>
      <w:r w:rsidRPr="00545A85">
        <w:t>.</w:t>
      </w:r>
      <w:r w:rsidRPr="00545A85">
        <w:br/>
      </w:r>
      <w:r w:rsidRPr="00545A85">
        <w:rPr>
          <w:rtl/>
        </w:rPr>
        <w:t>ومن خلال العقود العادلة، وآليات المراقبة الصارمة، والإشراف المستمر، تُكرّس الهيئة ثقافة الكرامة والمساواة والمساءلة المؤسسية في جميع جوانب عملها</w:t>
      </w:r>
      <w:r w:rsidRPr="00545A85">
        <w:t>.</w:t>
      </w:r>
    </w:p>
    <w:p w14:paraId="5D40D3EB" w14:textId="77777777" w:rsidR="00545A85" w:rsidRDefault="00545A85" w:rsidP="00545A85">
      <w:pPr>
        <w:bidi/>
        <w:rPr>
          <w:rtl/>
        </w:rPr>
      </w:pPr>
      <w:r w:rsidRPr="00545A85">
        <w:rPr>
          <w:rtl/>
        </w:rPr>
        <w:t>ويمثل هذا الإطار المتكامل نموذجاً متميزاً في المشتريات الحكومية المسؤولة في دولة الكويت، ويعكس التزام الهيئة العميق بتحقيق التنمية الأخلاقية والمستدامة وفقاً لمبادئ أهداف الأمم المتحدة للتنمية المستدامة</w:t>
      </w:r>
      <w:r w:rsidRPr="00545A85">
        <w:t>.</w:t>
      </w:r>
    </w:p>
    <w:p w14:paraId="2E70A10E" w14:textId="71DE9DA1" w:rsidR="0019708F" w:rsidRDefault="0019708F" w:rsidP="0019708F">
      <w:pPr>
        <w:bidi/>
        <w:rPr>
          <w:rFonts w:cs="Arial"/>
          <w:rtl/>
        </w:rPr>
      </w:pPr>
      <w:r w:rsidRPr="0019708F">
        <w:rPr>
          <w:rFonts w:cs="Arial" w:hint="cs"/>
          <w:rtl/>
        </w:rPr>
        <w:t>تجسّد</w:t>
      </w:r>
      <w:r w:rsidRPr="0019708F">
        <w:rPr>
          <w:rFonts w:cs="Arial"/>
          <w:rtl/>
        </w:rPr>
        <w:t xml:space="preserve"> </w:t>
      </w:r>
      <w:r w:rsidRPr="0019708F">
        <w:rPr>
          <w:rFonts w:cs="Arial" w:hint="cs"/>
          <w:rtl/>
        </w:rPr>
        <w:t>الخطة</w:t>
      </w:r>
      <w:r w:rsidRPr="0019708F">
        <w:rPr>
          <w:rFonts w:cs="Arial"/>
          <w:rtl/>
        </w:rPr>
        <w:t xml:space="preserve"> </w:t>
      </w:r>
      <w:r w:rsidRPr="0019708F">
        <w:rPr>
          <w:rFonts w:cs="Arial" w:hint="cs"/>
          <w:rtl/>
        </w:rPr>
        <w:t>الاستراتيجية</w:t>
      </w:r>
      <w:r w:rsidRPr="0019708F">
        <w:rPr>
          <w:rFonts w:cs="Arial"/>
          <w:rtl/>
        </w:rPr>
        <w:t xml:space="preserve"> </w:t>
      </w:r>
      <w:r w:rsidRPr="0019708F">
        <w:rPr>
          <w:rFonts w:cs="Arial" w:hint="cs"/>
          <w:rtl/>
        </w:rPr>
        <w:t>للهيئة</w:t>
      </w:r>
      <w:r w:rsidRPr="0019708F">
        <w:rPr>
          <w:rFonts w:cs="Arial"/>
          <w:rtl/>
        </w:rPr>
        <w:t xml:space="preserve"> </w:t>
      </w:r>
      <w:r w:rsidRPr="0019708F">
        <w:rPr>
          <w:rFonts w:cs="Arial" w:hint="cs"/>
          <w:rtl/>
        </w:rPr>
        <w:t>العامة</w:t>
      </w:r>
      <w:r w:rsidRPr="0019708F">
        <w:rPr>
          <w:rFonts w:cs="Arial"/>
          <w:rtl/>
        </w:rPr>
        <w:t xml:space="preserve"> </w:t>
      </w:r>
      <w:r w:rsidRPr="0019708F">
        <w:rPr>
          <w:rFonts w:cs="Arial" w:hint="cs"/>
          <w:rtl/>
        </w:rPr>
        <w:t>للتعليم</w:t>
      </w:r>
      <w:r w:rsidRPr="0019708F">
        <w:rPr>
          <w:rFonts w:cs="Arial"/>
          <w:rtl/>
        </w:rPr>
        <w:t xml:space="preserve"> </w:t>
      </w:r>
      <w:r w:rsidRPr="0019708F">
        <w:rPr>
          <w:rFonts w:cs="Arial" w:hint="cs"/>
          <w:rtl/>
        </w:rPr>
        <w:t>التطبيقي</w:t>
      </w:r>
      <w:r w:rsidRPr="0019708F">
        <w:rPr>
          <w:rFonts w:cs="Arial"/>
          <w:rtl/>
        </w:rPr>
        <w:t xml:space="preserve"> </w:t>
      </w:r>
      <w:r w:rsidRPr="0019708F">
        <w:rPr>
          <w:rFonts w:cs="Arial" w:hint="cs"/>
          <w:rtl/>
        </w:rPr>
        <w:t>والتدريب</w:t>
      </w:r>
      <w:r w:rsidRPr="0019708F">
        <w:rPr>
          <w:rFonts w:cs="Arial"/>
          <w:rtl/>
        </w:rPr>
        <w:t xml:space="preserve"> 2025–2030 </w:t>
      </w:r>
      <w:r w:rsidRPr="0019708F">
        <w:rPr>
          <w:rFonts w:cs="Arial" w:hint="cs"/>
          <w:rtl/>
        </w:rPr>
        <w:t>هذا</w:t>
      </w:r>
      <w:r w:rsidRPr="0019708F">
        <w:rPr>
          <w:rFonts w:cs="Arial"/>
          <w:rtl/>
        </w:rPr>
        <w:t xml:space="preserve"> </w:t>
      </w:r>
      <w:r w:rsidRPr="0019708F">
        <w:rPr>
          <w:rFonts w:cs="Arial" w:hint="cs"/>
          <w:rtl/>
        </w:rPr>
        <w:t>التوجّه</w:t>
      </w:r>
      <w:r w:rsidRPr="0019708F">
        <w:rPr>
          <w:rFonts w:cs="Arial"/>
          <w:rtl/>
        </w:rPr>
        <w:t xml:space="preserve"> </w:t>
      </w:r>
      <w:r w:rsidRPr="0019708F">
        <w:rPr>
          <w:rFonts w:cs="Arial" w:hint="cs"/>
          <w:rtl/>
        </w:rPr>
        <w:t>المؤسسي</w:t>
      </w:r>
      <w:r w:rsidRPr="0019708F">
        <w:rPr>
          <w:rFonts w:cs="Arial"/>
          <w:rtl/>
        </w:rPr>
        <w:t xml:space="preserve"> </w:t>
      </w:r>
      <w:r w:rsidRPr="0019708F">
        <w:rPr>
          <w:rFonts w:cs="Arial" w:hint="cs"/>
          <w:rtl/>
        </w:rPr>
        <w:t>من</w:t>
      </w:r>
      <w:r w:rsidRPr="0019708F">
        <w:rPr>
          <w:rFonts w:cs="Arial"/>
          <w:rtl/>
        </w:rPr>
        <w:t xml:space="preserve"> </w:t>
      </w:r>
      <w:r w:rsidRPr="0019708F">
        <w:rPr>
          <w:rFonts w:cs="Arial" w:hint="cs"/>
          <w:rtl/>
        </w:rPr>
        <w:t>خلال</w:t>
      </w:r>
      <w:r w:rsidRPr="0019708F">
        <w:rPr>
          <w:rFonts w:cs="Arial"/>
          <w:rtl/>
        </w:rPr>
        <w:t xml:space="preserve"> </w:t>
      </w:r>
      <w:r w:rsidRPr="0019708F">
        <w:rPr>
          <w:rFonts w:cs="Arial" w:hint="cs"/>
          <w:rtl/>
        </w:rPr>
        <w:t>إنشاء</w:t>
      </w:r>
      <w:r w:rsidRPr="0019708F">
        <w:rPr>
          <w:rFonts w:cs="Arial"/>
          <w:rtl/>
        </w:rPr>
        <w:t xml:space="preserve"> </w:t>
      </w:r>
      <w:r w:rsidRPr="0019708F">
        <w:rPr>
          <w:rFonts w:cs="Arial" w:hint="cs"/>
          <w:rtl/>
        </w:rPr>
        <w:t>أنظمة</w:t>
      </w:r>
      <w:r w:rsidRPr="0019708F">
        <w:rPr>
          <w:rFonts w:cs="Arial"/>
          <w:rtl/>
        </w:rPr>
        <w:t xml:space="preserve"> </w:t>
      </w:r>
      <w:r w:rsidRPr="0019708F">
        <w:rPr>
          <w:rFonts w:cs="Arial" w:hint="cs"/>
          <w:rtl/>
        </w:rPr>
        <w:t>حوكمة</w:t>
      </w:r>
      <w:r w:rsidRPr="0019708F">
        <w:rPr>
          <w:rFonts w:cs="Arial"/>
          <w:rtl/>
        </w:rPr>
        <w:t xml:space="preserve"> </w:t>
      </w:r>
      <w:r w:rsidRPr="0019708F">
        <w:rPr>
          <w:rFonts w:cs="Arial" w:hint="cs"/>
          <w:rtl/>
        </w:rPr>
        <w:t>ومساءلة</w:t>
      </w:r>
      <w:r w:rsidRPr="0019708F">
        <w:rPr>
          <w:rFonts w:cs="Arial"/>
          <w:rtl/>
        </w:rPr>
        <w:t xml:space="preserve"> </w:t>
      </w:r>
      <w:r w:rsidRPr="0019708F">
        <w:rPr>
          <w:rFonts w:cs="Arial" w:hint="cs"/>
          <w:rtl/>
        </w:rPr>
        <w:t>تعزّز</w:t>
      </w:r>
      <w:r w:rsidRPr="0019708F">
        <w:rPr>
          <w:rFonts w:cs="Arial"/>
          <w:rtl/>
        </w:rPr>
        <w:t xml:space="preserve"> </w:t>
      </w:r>
      <w:r w:rsidRPr="0019708F">
        <w:rPr>
          <w:rFonts w:cs="Arial" w:hint="cs"/>
          <w:rtl/>
        </w:rPr>
        <w:t>الشفافية</w:t>
      </w:r>
      <w:r w:rsidRPr="0019708F">
        <w:rPr>
          <w:rFonts w:cs="Arial"/>
          <w:rtl/>
        </w:rPr>
        <w:t xml:space="preserve"> </w:t>
      </w:r>
      <w:r w:rsidRPr="0019708F">
        <w:rPr>
          <w:rFonts w:cs="Arial" w:hint="cs"/>
          <w:rtl/>
        </w:rPr>
        <w:t>والنزاهة</w:t>
      </w:r>
      <w:r w:rsidRPr="0019708F">
        <w:rPr>
          <w:rFonts w:cs="Arial"/>
          <w:rtl/>
        </w:rPr>
        <w:t xml:space="preserve"> </w:t>
      </w:r>
      <w:r w:rsidRPr="0019708F">
        <w:rPr>
          <w:rFonts w:cs="Arial" w:hint="cs"/>
          <w:rtl/>
        </w:rPr>
        <w:t>في</w:t>
      </w:r>
      <w:r w:rsidRPr="0019708F">
        <w:rPr>
          <w:rFonts w:cs="Arial"/>
          <w:rtl/>
        </w:rPr>
        <w:t xml:space="preserve"> </w:t>
      </w:r>
      <w:r w:rsidRPr="0019708F">
        <w:rPr>
          <w:rFonts w:cs="Arial" w:hint="cs"/>
          <w:rtl/>
        </w:rPr>
        <w:t>جميع</w:t>
      </w:r>
      <w:r w:rsidRPr="0019708F">
        <w:rPr>
          <w:rFonts w:cs="Arial"/>
          <w:rtl/>
        </w:rPr>
        <w:t xml:space="preserve"> </w:t>
      </w:r>
      <w:r w:rsidRPr="0019708F">
        <w:rPr>
          <w:rFonts w:cs="Arial" w:hint="cs"/>
          <w:rtl/>
        </w:rPr>
        <w:t>مجالات</w:t>
      </w:r>
      <w:r w:rsidRPr="0019708F">
        <w:rPr>
          <w:rFonts w:cs="Arial"/>
          <w:rtl/>
        </w:rPr>
        <w:t xml:space="preserve"> </w:t>
      </w:r>
      <w:r w:rsidRPr="0019708F">
        <w:rPr>
          <w:rFonts w:cs="Arial" w:hint="cs"/>
          <w:rtl/>
        </w:rPr>
        <w:t>العمل</w:t>
      </w:r>
      <w:r w:rsidRPr="0019708F">
        <w:rPr>
          <w:rFonts w:cs="Arial"/>
          <w:rtl/>
        </w:rPr>
        <w:t xml:space="preserve">. </w:t>
      </w:r>
      <w:r w:rsidRPr="0019708F">
        <w:rPr>
          <w:rFonts w:cs="Arial" w:hint="cs"/>
          <w:rtl/>
        </w:rPr>
        <w:t>وتؤكد</w:t>
      </w:r>
      <w:r w:rsidRPr="0019708F">
        <w:rPr>
          <w:rFonts w:cs="Arial"/>
          <w:rtl/>
        </w:rPr>
        <w:t xml:space="preserve"> </w:t>
      </w:r>
      <w:r w:rsidRPr="0019708F">
        <w:rPr>
          <w:rFonts w:cs="Arial" w:hint="cs"/>
          <w:rtl/>
        </w:rPr>
        <w:t>الخطة</w:t>
      </w:r>
      <w:r w:rsidRPr="0019708F">
        <w:rPr>
          <w:rFonts w:cs="Arial"/>
          <w:rtl/>
        </w:rPr>
        <w:t xml:space="preserve"> </w:t>
      </w:r>
      <w:r w:rsidRPr="0019708F">
        <w:rPr>
          <w:rFonts w:cs="Arial" w:hint="cs"/>
          <w:rtl/>
        </w:rPr>
        <w:t>على</w:t>
      </w:r>
      <w:r w:rsidRPr="0019708F">
        <w:rPr>
          <w:rFonts w:cs="Arial"/>
          <w:rtl/>
        </w:rPr>
        <w:t xml:space="preserve"> </w:t>
      </w:r>
      <w:r w:rsidRPr="0019708F">
        <w:rPr>
          <w:rFonts w:cs="Arial" w:hint="cs"/>
          <w:rtl/>
        </w:rPr>
        <w:t>تطوير</w:t>
      </w:r>
      <w:r w:rsidRPr="0019708F">
        <w:rPr>
          <w:rFonts w:cs="Arial"/>
          <w:rtl/>
        </w:rPr>
        <w:t xml:space="preserve"> </w:t>
      </w:r>
      <w:r w:rsidRPr="0019708F">
        <w:rPr>
          <w:rFonts w:cs="Arial" w:hint="cs"/>
          <w:rtl/>
        </w:rPr>
        <w:t>الأطر</w:t>
      </w:r>
      <w:r w:rsidRPr="0019708F">
        <w:rPr>
          <w:rFonts w:cs="Arial"/>
          <w:rtl/>
        </w:rPr>
        <w:t xml:space="preserve"> </w:t>
      </w:r>
      <w:r w:rsidRPr="0019708F">
        <w:rPr>
          <w:rFonts w:cs="Arial" w:hint="cs"/>
          <w:rtl/>
        </w:rPr>
        <w:t>التنظيمية</w:t>
      </w:r>
      <w:r w:rsidRPr="0019708F">
        <w:rPr>
          <w:rFonts w:cs="Arial"/>
          <w:rtl/>
        </w:rPr>
        <w:t xml:space="preserve"> </w:t>
      </w:r>
      <w:r w:rsidRPr="0019708F">
        <w:rPr>
          <w:rFonts w:cs="Arial" w:hint="cs"/>
          <w:rtl/>
        </w:rPr>
        <w:t>ومتابعة</w:t>
      </w:r>
      <w:r w:rsidRPr="0019708F">
        <w:rPr>
          <w:rFonts w:cs="Arial"/>
          <w:rtl/>
        </w:rPr>
        <w:t xml:space="preserve"> </w:t>
      </w:r>
      <w:r w:rsidRPr="0019708F">
        <w:rPr>
          <w:rFonts w:cs="Arial" w:hint="cs"/>
          <w:rtl/>
        </w:rPr>
        <w:t>أداء</w:t>
      </w:r>
      <w:r w:rsidRPr="0019708F">
        <w:rPr>
          <w:rFonts w:cs="Arial"/>
          <w:rtl/>
        </w:rPr>
        <w:t xml:space="preserve"> </w:t>
      </w:r>
      <w:r w:rsidRPr="0019708F">
        <w:rPr>
          <w:rFonts w:cs="Arial" w:hint="cs"/>
          <w:rtl/>
        </w:rPr>
        <w:t>المتعاقدين</w:t>
      </w:r>
      <w:r w:rsidRPr="0019708F">
        <w:rPr>
          <w:rFonts w:cs="Arial"/>
          <w:rtl/>
        </w:rPr>
        <w:t xml:space="preserve"> </w:t>
      </w:r>
      <w:r w:rsidRPr="0019708F">
        <w:rPr>
          <w:rFonts w:cs="Arial" w:hint="cs"/>
          <w:rtl/>
        </w:rPr>
        <w:t>وتعزيز</w:t>
      </w:r>
      <w:r w:rsidRPr="0019708F">
        <w:rPr>
          <w:rFonts w:cs="Arial"/>
          <w:rtl/>
        </w:rPr>
        <w:t xml:space="preserve"> </w:t>
      </w:r>
      <w:r w:rsidRPr="0019708F">
        <w:rPr>
          <w:rFonts w:cs="Arial" w:hint="cs"/>
          <w:rtl/>
        </w:rPr>
        <w:t>ثقافة</w:t>
      </w:r>
      <w:r w:rsidRPr="0019708F">
        <w:rPr>
          <w:rFonts w:cs="Arial"/>
          <w:rtl/>
        </w:rPr>
        <w:t xml:space="preserve"> </w:t>
      </w:r>
      <w:r w:rsidRPr="0019708F">
        <w:rPr>
          <w:rFonts w:cs="Arial" w:hint="cs"/>
          <w:rtl/>
        </w:rPr>
        <w:t>المسؤولية</w:t>
      </w:r>
      <w:r w:rsidRPr="0019708F">
        <w:rPr>
          <w:rFonts w:cs="Arial"/>
          <w:rtl/>
        </w:rPr>
        <w:t xml:space="preserve"> </w:t>
      </w:r>
      <w:r w:rsidRPr="0019708F">
        <w:rPr>
          <w:rFonts w:cs="Arial" w:hint="cs"/>
          <w:rtl/>
        </w:rPr>
        <w:t>والممارسات</w:t>
      </w:r>
      <w:r w:rsidRPr="0019708F">
        <w:rPr>
          <w:rFonts w:cs="Arial"/>
          <w:rtl/>
        </w:rPr>
        <w:t xml:space="preserve"> </w:t>
      </w:r>
      <w:r w:rsidRPr="0019708F">
        <w:rPr>
          <w:rFonts w:cs="Arial" w:hint="cs"/>
          <w:rtl/>
        </w:rPr>
        <w:t>الأخلاقية</w:t>
      </w:r>
      <w:r w:rsidRPr="0019708F">
        <w:rPr>
          <w:rFonts w:cs="Arial"/>
          <w:rtl/>
        </w:rPr>
        <w:t xml:space="preserve"> </w:t>
      </w:r>
      <w:r w:rsidRPr="0019708F">
        <w:rPr>
          <w:rFonts w:cs="Arial" w:hint="cs"/>
          <w:rtl/>
        </w:rPr>
        <w:t>في</w:t>
      </w:r>
      <w:r w:rsidRPr="0019708F">
        <w:rPr>
          <w:rFonts w:cs="Arial"/>
          <w:rtl/>
        </w:rPr>
        <w:t xml:space="preserve"> </w:t>
      </w:r>
      <w:r w:rsidRPr="0019708F">
        <w:rPr>
          <w:rFonts w:cs="Arial" w:hint="cs"/>
          <w:rtl/>
        </w:rPr>
        <w:t>جميع</w:t>
      </w:r>
      <w:r w:rsidRPr="0019708F">
        <w:rPr>
          <w:rFonts w:cs="Arial"/>
          <w:rtl/>
        </w:rPr>
        <w:t xml:space="preserve"> </w:t>
      </w:r>
      <w:r w:rsidRPr="0019708F">
        <w:rPr>
          <w:rFonts w:cs="Arial" w:hint="cs"/>
          <w:rtl/>
        </w:rPr>
        <w:t>قطاعات</w:t>
      </w:r>
      <w:r w:rsidRPr="0019708F">
        <w:rPr>
          <w:rFonts w:cs="Arial"/>
          <w:rtl/>
        </w:rPr>
        <w:t xml:space="preserve"> </w:t>
      </w:r>
      <w:r w:rsidRPr="0019708F">
        <w:rPr>
          <w:rFonts w:cs="Arial" w:hint="cs"/>
          <w:rtl/>
        </w:rPr>
        <w:t>الهيئة</w:t>
      </w:r>
      <w:r w:rsidRPr="0019708F">
        <w:rPr>
          <w:rFonts w:cs="Arial"/>
          <w:rtl/>
        </w:rPr>
        <w:t xml:space="preserve">. </w:t>
      </w:r>
      <w:r w:rsidRPr="0019708F">
        <w:rPr>
          <w:rFonts w:cs="Arial" w:hint="cs"/>
          <w:rtl/>
        </w:rPr>
        <w:t>وتُعد</w:t>
      </w:r>
      <w:r w:rsidRPr="0019708F">
        <w:rPr>
          <w:rFonts w:cs="Arial"/>
          <w:rtl/>
        </w:rPr>
        <w:t xml:space="preserve"> </w:t>
      </w:r>
      <w:r w:rsidRPr="0019708F">
        <w:rPr>
          <w:rFonts w:cs="Arial" w:hint="cs"/>
          <w:rtl/>
        </w:rPr>
        <w:t>هذه</w:t>
      </w:r>
      <w:r w:rsidRPr="0019708F">
        <w:rPr>
          <w:rFonts w:cs="Arial"/>
          <w:rtl/>
        </w:rPr>
        <w:t xml:space="preserve"> </w:t>
      </w:r>
      <w:r w:rsidRPr="0019708F">
        <w:rPr>
          <w:rFonts w:cs="Arial" w:hint="cs"/>
          <w:rtl/>
        </w:rPr>
        <w:t>السياسات</w:t>
      </w:r>
      <w:r w:rsidRPr="0019708F">
        <w:rPr>
          <w:rFonts w:cs="Arial"/>
          <w:rtl/>
        </w:rPr>
        <w:t xml:space="preserve"> </w:t>
      </w:r>
      <w:r w:rsidRPr="0019708F">
        <w:rPr>
          <w:rFonts w:cs="Arial" w:hint="cs"/>
          <w:rtl/>
        </w:rPr>
        <w:t>امتدادًا</w:t>
      </w:r>
      <w:r w:rsidRPr="0019708F">
        <w:rPr>
          <w:rFonts w:cs="Arial"/>
          <w:rtl/>
        </w:rPr>
        <w:t xml:space="preserve"> </w:t>
      </w:r>
      <w:r w:rsidRPr="0019708F">
        <w:rPr>
          <w:rFonts w:cs="Arial" w:hint="cs"/>
          <w:rtl/>
        </w:rPr>
        <w:t>لالتزام</w:t>
      </w:r>
      <w:r w:rsidRPr="0019708F">
        <w:rPr>
          <w:rFonts w:cs="Arial"/>
          <w:rtl/>
        </w:rPr>
        <w:t xml:space="preserve"> </w:t>
      </w:r>
      <w:r w:rsidRPr="0019708F">
        <w:rPr>
          <w:rFonts w:cs="Arial" w:hint="cs"/>
          <w:rtl/>
        </w:rPr>
        <w:t>الهيئة</w:t>
      </w:r>
      <w:r w:rsidRPr="0019708F">
        <w:rPr>
          <w:rFonts w:cs="Arial"/>
          <w:rtl/>
        </w:rPr>
        <w:t xml:space="preserve"> </w:t>
      </w:r>
      <w:r w:rsidRPr="0019708F">
        <w:rPr>
          <w:rFonts w:cs="Arial" w:hint="cs"/>
          <w:rtl/>
        </w:rPr>
        <w:t>بالاستدامة</w:t>
      </w:r>
      <w:r w:rsidRPr="0019708F">
        <w:rPr>
          <w:rFonts w:cs="Arial"/>
          <w:rtl/>
        </w:rPr>
        <w:t xml:space="preserve"> </w:t>
      </w:r>
      <w:r w:rsidRPr="0019708F">
        <w:rPr>
          <w:rFonts w:cs="Arial" w:hint="cs"/>
          <w:rtl/>
        </w:rPr>
        <w:t>والمسؤولية</w:t>
      </w:r>
      <w:r w:rsidRPr="0019708F">
        <w:rPr>
          <w:rFonts w:cs="Arial"/>
          <w:rtl/>
        </w:rPr>
        <w:t xml:space="preserve"> </w:t>
      </w:r>
      <w:r w:rsidRPr="0019708F">
        <w:rPr>
          <w:rFonts w:cs="Arial" w:hint="cs"/>
          <w:rtl/>
        </w:rPr>
        <w:t>المجتمعية</w:t>
      </w:r>
      <w:r w:rsidRPr="0019708F">
        <w:rPr>
          <w:rFonts w:cs="Arial"/>
          <w:rtl/>
        </w:rPr>
        <w:t xml:space="preserve"> </w:t>
      </w:r>
      <w:r w:rsidRPr="0019708F">
        <w:rPr>
          <w:rFonts w:cs="Arial" w:hint="cs"/>
          <w:rtl/>
        </w:rPr>
        <w:t>وحماية</w:t>
      </w:r>
      <w:r w:rsidRPr="0019708F">
        <w:rPr>
          <w:rFonts w:cs="Arial"/>
          <w:rtl/>
        </w:rPr>
        <w:t xml:space="preserve"> </w:t>
      </w:r>
      <w:r w:rsidRPr="0019708F">
        <w:rPr>
          <w:rFonts w:cs="Arial" w:hint="cs"/>
          <w:rtl/>
        </w:rPr>
        <w:t>حقوق</w:t>
      </w:r>
      <w:r w:rsidRPr="0019708F">
        <w:rPr>
          <w:rFonts w:cs="Arial"/>
          <w:rtl/>
        </w:rPr>
        <w:t xml:space="preserve"> </w:t>
      </w:r>
      <w:r w:rsidRPr="0019708F">
        <w:rPr>
          <w:rFonts w:cs="Arial" w:hint="cs"/>
          <w:rtl/>
        </w:rPr>
        <w:t>العاملين،</w:t>
      </w:r>
      <w:r w:rsidRPr="0019708F">
        <w:rPr>
          <w:rFonts w:cs="Arial"/>
          <w:rtl/>
        </w:rPr>
        <w:t xml:space="preserve"> </w:t>
      </w:r>
      <w:r w:rsidRPr="0019708F">
        <w:rPr>
          <w:rFonts w:cs="Arial" w:hint="cs"/>
          <w:rtl/>
        </w:rPr>
        <w:t>بما</w:t>
      </w:r>
      <w:r w:rsidRPr="0019708F">
        <w:rPr>
          <w:rFonts w:cs="Arial"/>
          <w:rtl/>
        </w:rPr>
        <w:t xml:space="preserve"> </w:t>
      </w:r>
      <w:r w:rsidRPr="0019708F">
        <w:rPr>
          <w:rFonts w:cs="Arial" w:hint="cs"/>
          <w:rtl/>
        </w:rPr>
        <w:t>يتماشى</w:t>
      </w:r>
      <w:r w:rsidRPr="0019708F">
        <w:rPr>
          <w:rFonts w:cs="Arial"/>
          <w:rtl/>
        </w:rPr>
        <w:t xml:space="preserve"> </w:t>
      </w:r>
      <w:r w:rsidRPr="0019708F">
        <w:rPr>
          <w:rFonts w:cs="Arial" w:hint="cs"/>
          <w:rtl/>
        </w:rPr>
        <w:t>مع</w:t>
      </w:r>
      <w:r w:rsidRPr="0019708F">
        <w:rPr>
          <w:rFonts w:cs="Arial"/>
          <w:rtl/>
        </w:rPr>
        <w:t xml:space="preserve"> </w:t>
      </w:r>
      <w:r w:rsidRPr="0019708F">
        <w:rPr>
          <w:rFonts w:cs="Arial" w:hint="cs"/>
          <w:rtl/>
        </w:rPr>
        <w:t>الهدف</w:t>
      </w:r>
      <w:r w:rsidRPr="0019708F">
        <w:rPr>
          <w:rFonts w:cs="Arial"/>
          <w:rtl/>
        </w:rPr>
        <w:t xml:space="preserve"> </w:t>
      </w:r>
      <w:r w:rsidRPr="0019708F">
        <w:rPr>
          <w:rFonts w:cs="Arial" w:hint="cs"/>
          <w:rtl/>
        </w:rPr>
        <w:t>الثامن</w:t>
      </w:r>
      <w:r w:rsidRPr="0019708F">
        <w:rPr>
          <w:rFonts w:cs="Arial"/>
          <w:rtl/>
        </w:rPr>
        <w:t xml:space="preserve"> </w:t>
      </w:r>
      <w:r w:rsidRPr="0019708F">
        <w:rPr>
          <w:rFonts w:cs="Arial" w:hint="cs"/>
          <w:rtl/>
        </w:rPr>
        <w:t>من</w:t>
      </w:r>
      <w:r w:rsidRPr="0019708F">
        <w:rPr>
          <w:rFonts w:cs="Arial"/>
          <w:rtl/>
        </w:rPr>
        <w:t xml:space="preserve"> </w:t>
      </w:r>
      <w:r w:rsidRPr="0019708F">
        <w:rPr>
          <w:rFonts w:cs="Arial" w:hint="cs"/>
          <w:rtl/>
        </w:rPr>
        <w:t>أهداف</w:t>
      </w:r>
      <w:r w:rsidRPr="0019708F">
        <w:rPr>
          <w:rFonts w:cs="Arial"/>
          <w:rtl/>
        </w:rPr>
        <w:t xml:space="preserve"> </w:t>
      </w:r>
      <w:r w:rsidRPr="0019708F">
        <w:rPr>
          <w:rFonts w:cs="Arial" w:hint="cs"/>
          <w:rtl/>
        </w:rPr>
        <w:t>التنمية</w:t>
      </w:r>
      <w:r w:rsidRPr="0019708F">
        <w:rPr>
          <w:rFonts w:cs="Arial"/>
          <w:rtl/>
        </w:rPr>
        <w:t xml:space="preserve"> </w:t>
      </w:r>
      <w:r w:rsidRPr="0019708F">
        <w:rPr>
          <w:rFonts w:cs="Arial" w:hint="cs"/>
          <w:rtl/>
        </w:rPr>
        <w:t>المستدامة</w:t>
      </w:r>
      <w:r w:rsidRPr="0019708F">
        <w:rPr>
          <w:rFonts w:cs="Arial"/>
          <w:rtl/>
        </w:rPr>
        <w:t xml:space="preserve"> </w:t>
      </w:r>
      <w:r w:rsidRPr="0019708F">
        <w:rPr>
          <w:rFonts w:cs="Arial" w:hint="cs"/>
          <w:rtl/>
        </w:rPr>
        <w:t>ورؤية</w:t>
      </w:r>
      <w:r w:rsidRPr="0019708F">
        <w:rPr>
          <w:rFonts w:cs="Arial"/>
          <w:rtl/>
        </w:rPr>
        <w:t xml:space="preserve"> </w:t>
      </w:r>
      <w:r w:rsidRPr="0019708F">
        <w:rPr>
          <w:rFonts w:cs="Arial" w:hint="cs"/>
          <w:rtl/>
        </w:rPr>
        <w:t>الكويت</w:t>
      </w:r>
      <w:r w:rsidRPr="0019708F">
        <w:rPr>
          <w:rFonts w:cs="Arial"/>
          <w:rtl/>
        </w:rPr>
        <w:t xml:space="preserve"> 2035.</w:t>
      </w:r>
    </w:p>
    <w:p w14:paraId="5F135D40" w14:textId="1836C739" w:rsidR="0019708F" w:rsidRPr="00545A85" w:rsidRDefault="0019708F" w:rsidP="0019708F">
      <w:pPr>
        <w:bidi/>
      </w:pPr>
      <w:r>
        <w:object w:dxaOrig="3811" w:dyaOrig="818" w14:anchorId="0885A762">
          <v:shape id="_x0000_i1026" type="#_x0000_t75" style="width:190.5pt;height:40.9pt" o:ole="">
            <v:imagedata r:id="rId8" o:title=""/>
          </v:shape>
          <o:OLEObject Type="Embed" ProgID="Package" ShapeID="_x0000_i1026" DrawAspect="Content" ObjectID="_1823611746" r:id="rId9"/>
        </w:object>
      </w:r>
    </w:p>
    <w:p w14:paraId="1B0EB537" w14:textId="1347D288" w:rsidR="00545A85" w:rsidRPr="00545A85" w:rsidRDefault="00545A85" w:rsidP="00545A85">
      <w:pPr>
        <w:bidi/>
      </w:pPr>
      <w:r w:rsidRPr="00545A85">
        <w:br/>
      </w:r>
      <w:r w:rsidRPr="00545A85">
        <w:rPr>
          <w:rtl/>
        </w:rPr>
        <w:t>في الهيئة العامة للتعليم التطبيقي والتدريب، تمتد المسؤولية الأخلاقية إلى كل من يسهم في نجاح المؤسسة — لأن العدالة تبدأ من مكان العمل وتمتد إلى كل من يخدم المجتمع</w:t>
      </w:r>
      <w:r w:rsidRPr="00545A85">
        <w:t>.</w:t>
      </w:r>
    </w:p>
    <w:p w14:paraId="7BBC9C36" w14:textId="77777777" w:rsidR="009511AA" w:rsidRDefault="009511AA" w:rsidP="00545A85">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3601F"/>
    <w:multiLevelType w:val="multilevel"/>
    <w:tmpl w:val="B7720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4B6F65"/>
    <w:multiLevelType w:val="multilevel"/>
    <w:tmpl w:val="6704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23F74"/>
    <w:multiLevelType w:val="multilevel"/>
    <w:tmpl w:val="330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399217">
    <w:abstractNumId w:val="0"/>
  </w:num>
  <w:num w:numId="2" w16cid:durableId="916092480">
    <w:abstractNumId w:val="1"/>
  </w:num>
  <w:num w:numId="3" w16cid:durableId="103577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A85"/>
    <w:rsid w:val="00041838"/>
    <w:rsid w:val="00082A65"/>
    <w:rsid w:val="0018555B"/>
    <w:rsid w:val="0019708F"/>
    <w:rsid w:val="001E74A9"/>
    <w:rsid w:val="00545A85"/>
    <w:rsid w:val="005873A2"/>
    <w:rsid w:val="00595BAB"/>
    <w:rsid w:val="007365FE"/>
    <w:rsid w:val="009511AA"/>
    <w:rsid w:val="00971ECC"/>
    <w:rsid w:val="009C48D1"/>
    <w:rsid w:val="00B1787D"/>
    <w:rsid w:val="00F91273"/>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BE79F5"/>
  <w15:chartTrackingRefBased/>
  <w15:docId w15:val="{B1AE290B-74E9-47DD-BF28-66B1CD69D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A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5A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5A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5A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A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A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A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A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A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A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5A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5A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5A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A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A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A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A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A85"/>
    <w:rPr>
      <w:rFonts w:eastAsiaTheme="majorEastAsia" w:cstheme="majorBidi"/>
      <w:color w:val="272727" w:themeColor="text1" w:themeTint="D8"/>
    </w:rPr>
  </w:style>
  <w:style w:type="paragraph" w:styleId="Title">
    <w:name w:val="Title"/>
    <w:basedOn w:val="Normal"/>
    <w:next w:val="Normal"/>
    <w:link w:val="TitleChar"/>
    <w:uiPriority w:val="10"/>
    <w:qFormat/>
    <w:rsid w:val="00545A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A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A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A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A85"/>
    <w:pPr>
      <w:spacing w:before="160"/>
      <w:jc w:val="center"/>
    </w:pPr>
    <w:rPr>
      <w:i/>
      <w:iCs/>
      <w:color w:val="404040" w:themeColor="text1" w:themeTint="BF"/>
    </w:rPr>
  </w:style>
  <w:style w:type="character" w:customStyle="1" w:styleId="QuoteChar">
    <w:name w:val="Quote Char"/>
    <w:basedOn w:val="DefaultParagraphFont"/>
    <w:link w:val="Quote"/>
    <w:uiPriority w:val="29"/>
    <w:rsid w:val="00545A85"/>
    <w:rPr>
      <w:i/>
      <w:iCs/>
      <w:color w:val="404040" w:themeColor="text1" w:themeTint="BF"/>
    </w:rPr>
  </w:style>
  <w:style w:type="paragraph" w:styleId="ListParagraph">
    <w:name w:val="List Paragraph"/>
    <w:basedOn w:val="Normal"/>
    <w:uiPriority w:val="34"/>
    <w:qFormat/>
    <w:rsid w:val="00545A85"/>
    <w:pPr>
      <w:ind w:left="720"/>
      <w:contextualSpacing/>
    </w:pPr>
  </w:style>
  <w:style w:type="character" w:styleId="IntenseEmphasis">
    <w:name w:val="Intense Emphasis"/>
    <w:basedOn w:val="DefaultParagraphFont"/>
    <w:uiPriority w:val="21"/>
    <w:qFormat/>
    <w:rsid w:val="00545A85"/>
    <w:rPr>
      <w:i/>
      <w:iCs/>
      <w:color w:val="0F4761" w:themeColor="accent1" w:themeShade="BF"/>
    </w:rPr>
  </w:style>
  <w:style w:type="paragraph" w:styleId="IntenseQuote">
    <w:name w:val="Intense Quote"/>
    <w:basedOn w:val="Normal"/>
    <w:next w:val="Normal"/>
    <w:link w:val="IntenseQuoteChar"/>
    <w:uiPriority w:val="30"/>
    <w:qFormat/>
    <w:rsid w:val="00545A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A85"/>
    <w:rPr>
      <w:i/>
      <w:iCs/>
      <w:color w:val="0F4761" w:themeColor="accent1" w:themeShade="BF"/>
    </w:rPr>
  </w:style>
  <w:style w:type="character" w:styleId="IntenseReference">
    <w:name w:val="Intense Reference"/>
    <w:basedOn w:val="DefaultParagraphFont"/>
    <w:uiPriority w:val="32"/>
    <w:qFormat/>
    <w:rsid w:val="00545A8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657</Words>
  <Characters>3746</Characters>
  <Application>Microsoft Office Word</Application>
  <DocSecurity>0</DocSecurity>
  <Lines>31</Lines>
  <Paragraphs>8</Paragraphs>
  <ScaleCrop>false</ScaleCrop>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Adsani</cp:lastModifiedBy>
  <cp:revision>5</cp:revision>
  <dcterms:created xsi:type="dcterms:W3CDTF">2025-10-31T08:56:00Z</dcterms:created>
  <dcterms:modified xsi:type="dcterms:W3CDTF">2025-11-02T15:02:00Z</dcterms:modified>
</cp:coreProperties>
</file>