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9EB72" w14:textId="77777777" w:rsidR="00DD02DC" w:rsidRPr="00380F4B" w:rsidRDefault="00DD02DC" w:rsidP="00DD02DC">
      <w:pPr>
        <w:bidi/>
        <w:rPr>
          <w:b/>
          <w:bCs/>
          <w:sz w:val="40"/>
          <w:szCs w:val="40"/>
        </w:rPr>
      </w:pPr>
      <w:r w:rsidRPr="00380F4B">
        <w:rPr>
          <w:b/>
          <w:bCs/>
          <w:sz w:val="40"/>
          <w:szCs w:val="40"/>
          <w:rtl/>
        </w:rPr>
        <w:t>التزام الهيئة العامة للتعليم التطبيقي والتدريب بالعدالة والمساواة في التوظيف والأجور</w:t>
      </w:r>
    </w:p>
    <w:p w14:paraId="7ADA5811" w14:textId="77777777" w:rsidR="00DD02DC" w:rsidRPr="00DD02DC" w:rsidRDefault="00DD02DC" w:rsidP="00DD02DC">
      <w:pPr>
        <w:bidi/>
      </w:pPr>
      <w:r w:rsidRPr="00DD02DC">
        <w:rPr>
          <w:rtl/>
        </w:rPr>
        <w:t>تلتزم الهيئة العامة للتعليم التطبيقي والتدريب</w:t>
      </w:r>
      <w:r w:rsidRPr="00DD02DC">
        <w:t xml:space="preserve"> (PAAET) </w:t>
      </w:r>
      <w:r w:rsidRPr="00DD02DC">
        <w:rPr>
          <w:rtl/>
        </w:rPr>
        <w:t>بتطبيق أعلى معايير العدالة والشفافية وتكافؤ الفرص في جميع ممارسات التوظيف والتعويض الوظيفي</w:t>
      </w:r>
      <w:r w:rsidRPr="00DD02DC">
        <w:t>.</w:t>
      </w:r>
      <w:r w:rsidRPr="00DD02DC">
        <w:br/>
      </w:r>
      <w:r w:rsidRPr="00DD02DC">
        <w:rPr>
          <w:rtl/>
        </w:rPr>
        <w:t>وبصفتها جهة حكومية رسمية، تلتزم الهيئة التزاماً كاملاً بـ سلم الرواتب الموحد الصادر عن ديوان الخدمة المدنية في دولة الكويت، الذي يضمن العدالة في الأجور والمزايا ويُزيل أي شكل من أشكال التمييز بين العاملين في مؤسسات الدولة المختلفة</w:t>
      </w:r>
      <w:r w:rsidRPr="00DD02DC">
        <w:t>.</w:t>
      </w:r>
    </w:p>
    <w:p w14:paraId="0C892AAA" w14:textId="7069126F" w:rsidR="00DD02DC" w:rsidRDefault="00F8136E" w:rsidP="00DD02DC">
      <w:pPr>
        <w:bidi/>
        <w:rPr>
          <w:rtl/>
        </w:rPr>
      </w:pPr>
      <w:r>
        <w:rPr>
          <w:noProof/>
        </w:rPr>
        <w:drawing>
          <wp:anchor distT="0" distB="0" distL="114300" distR="114300" simplePos="0" relativeHeight="251658240" behindDoc="0" locked="0" layoutInCell="1" allowOverlap="1" wp14:anchorId="759E1329" wp14:editId="6BEBF9ED">
            <wp:simplePos x="0" y="0"/>
            <wp:positionH relativeFrom="column">
              <wp:posOffset>2066925</wp:posOffset>
            </wp:positionH>
            <wp:positionV relativeFrom="paragraph">
              <wp:posOffset>137795</wp:posOffset>
            </wp:positionV>
            <wp:extent cx="2523490" cy="2504048"/>
            <wp:effectExtent l="0" t="0" r="0" b="0"/>
            <wp:wrapNone/>
            <wp:docPr id="920661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25511" cy="2506053"/>
                    </a:xfrm>
                    <a:prstGeom prst="rect">
                      <a:avLst/>
                    </a:prstGeom>
                    <a:noFill/>
                  </pic:spPr>
                </pic:pic>
              </a:graphicData>
            </a:graphic>
            <wp14:sizeRelH relativeFrom="margin">
              <wp14:pctWidth>0</wp14:pctWidth>
            </wp14:sizeRelH>
            <wp14:sizeRelV relativeFrom="margin">
              <wp14:pctHeight>0</wp14:pctHeight>
            </wp14:sizeRelV>
          </wp:anchor>
        </w:drawing>
      </w:r>
    </w:p>
    <w:p w14:paraId="3B73705E" w14:textId="77777777" w:rsidR="00F8136E" w:rsidRDefault="00F8136E" w:rsidP="00F8136E">
      <w:pPr>
        <w:bidi/>
        <w:rPr>
          <w:rtl/>
        </w:rPr>
      </w:pPr>
    </w:p>
    <w:p w14:paraId="67F6FF0A" w14:textId="77777777" w:rsidR="00F8136E" w:rsidRDefault="00F8136E" w:rsidP="00F8136E">
      <w:pPr>
        <w:bidi/>
        <w:rPr>
          <w:rtl/>
        </w:rPr>
      </w:pPr>
    </w:p>
    <w:p w14:paraId="523460A5" w14:textId="77777777" w:rsidR="00F8136E" w:rsidRDefault="00F8136E" w:rsidP="00F8136E">
      <w:pPr>
        <w:bidi/>
        <w:rPr>
          <w:rtl/>
        </w:rPr>
      </w:pPr>
    </w:p>
    <w:p w14:paraId="658244B5" w14:textId="77777777" w:rsidR="00F8136E" w:rsidRDefault="00F8136E" w:rsidP="00F8136E">
      <w:pPr>
        <w:bidi/>
        <w:rPr>
          <w:rtl/>
        </w:rPr>
      </w:pPr>
    </w:p>
    <w:p w14:paraId="48ADCB35" w14:textId="77777777" w:rsidR="00F8136E" w:rsidRDefault="00F8136E" w:rsidP="00F8136E">
      <w:pPr>
        <w:bidi/>
        <w:rPr>
          <w:rtl/>
        </w:rPr>
      </w:pPr>
    </w:p>
    <w:p w14:paraId="5AC4AB7E" w14:textId="77777777" w:rsidR="00F8136E" w:rsidRDefault="00F8136E" w:rsidP="00F8136E">
      <w:pPr>
        <w:bidi/>
        <w:rPr>
          <w:rtl/>
        </w:rPr>
      </w:pPr>
    </w:p>
    <w:p w14:paraId="1878388D" w14:textId="77777777" w:rsidR="00F8136E" w:rsidRDefault="00F8136E" w:rsidP="00F8136E">
      <w:pPr>
        <w:bidi/>
        <w:rPr>
          <w:rtl/>
        </w:rPr>
      </w:pPr>
    </w:p>
    <w:p w14:paraId="3A806365" w14:textId="77777777" w:rsidR="00F8136E" w:rsidRDefault="00F8136E" w:rsidP="00F8136E">
      <w:pPr>
        <w:bidi/>
        <w:rPr>
          <w:rtl/>
        </w:rPr>
      </w:pPr>
    </w:p>
    <w:p w14:paraId="2CC1664F" w14:textId="375D3F83" w:rsidR="00F8136E" w:rsidRPr="00F8136E" w:rsidRDefault="00F8136E" w:rsidP="00F8136E">
      <w:pPr>
        <w:bidi/>
        <w:jc w:val="center"/>
        <w:rPr>
          <w:b/>
          <w:bCs/>
          <w:rtl/>
        </w:rPr>
      </w:pPr>
      <w:r w:rsidRPr="00F8136E">
        <w:rPr>
          <w:rFonts w:cs="Arial" w:hint="cs"/>
          <w:b/>
          <w:bCs/>
          <w:rtl/>
        </w:rPr>
        <w:t>اجتمع</w:t>
      </w:r>
      <w:r w:rsidRPr="00F8136E">
        <w:rPr>
          <w:rFonts w:cs="Arial"/>
          <w:b/>
          <w:bCs/>
          <w:rtl/>
        </w:rPr>
        <w:t xml:space="preserve"> </w:t>
      </w:r>
      <w:r w:rsidRPr="00F8136E">
        <w:rPr>
          <w:rFonts w:cs="Arial" w:hint="cs"/>
          <w:b/>
          <w:bCs/>
          <w:rtl/>
        </w:rPr>
        <w:t>قياديو</w:t>
      </w:r>
      <w:r w:rsidRPr="00F8136E">
        <w:rPr>
          <w:rFonts w:cs="Arial"/>
          <w:b/>
          <w:bCs/>
          <w:rtl/>
        </w:rPr>
        <w:t xml:space="preserve"> </w:t>
      </w:r>
      <w:r w:rsidRPr="00F8136E">
        <w:rPr>
          <w:rFonts w:cs="Arial" w:hint="cs"/>
          <w:b/>
          <w:bCs/>
          <w:rtl/>
        </w:rPr>
        <w:t>الهيئة</w:t>
      </w:r>
      <w:r w:rsidRPr="00F8136E">
        <w:rPr>
          <w:rFonts w:cs="Arial"/>
          <w:b/>
          <w:bCs/>
          <w:rtl/>
        </w:rPr>
        <w:t xml:space="preserve"> </w:t>
      </w:r>
      <w:r w:rsidRPr="00F8136E">
        <w:rPr>
          <w:rFonts w:cs="Arial" w:hint="cs"/>
          <w:b/>
          <w:bCs/>
          <w:rtl/>
        </w:rPr>
        <w:t>العامة</w:t>
      </w:r>
      <w:r w:rsidRPr="00F8136E">
        <w:rPr>
          <w:rFonts w:cs="Arial"/>
          <w:b/>
          <w:bCs/>
          <w:rtl/>
        </w:rPr>
        <w:t xml:space="preserve"> </w:t>
      </w:r>
      <w:r w:rsidRPr="00F8136E">
        <w:rPr>
          <w:rFonts w:cs="Arial" w:hint="cs"/>
          <w:b/>
          <w:bCs/>
          <w:rtl/>
        </w:rPr>
        <w:t>للتعليم</w:t>
      </w:r>
      <w:r w:rsidRPr="00F8136E">
        <w:rPr>
          <w:rFonts w:cs="Arial"/>
          <w:b/>
          <w:bCs/>
          <w:rtl/>
        </w:rPr>
        <w:t xml:space="preserve"> </w:t>
      </w:r>
      <w:r w:rsidRPr="00F8136E">
        <w:rPr>
          <w:rFonts w:cs="Arial" w:hint="cs"/>
          <w:b/>
          <w:bCs/>
          <w:rtl/>
        </w:rPr>
        <w:t>التطبيقي</w:t>
      </w:r>
      <w:r w:rsidRPr="00F8136E">
        <w:rPr>
          <w:rFonts w:cs="Arial"/>
          <w:b/>
          <w:bCs/>
          <w:rtl/>
        </w:rPr>
        <w:t xml:space="preserve"> </w:t>
      </w:r>
      <w:r w:rsidRPr="00F8136E">
        <w:rPr>
          <w:rFonts w:cs="Arial" w:hint="cs"/>
          <w:b/>
          <w:bCs/>
          <w:rtl/>
        </w:rPr>
        <w:t>والتدريب</w:t>
      </w:r>
      <w:r w:rsidRPr="00F8136E">
        <w:rPr>
          <w:rFonts w:cs="Arial"/>
          <w:b/>
          <w:bCs/>
          <w:rtl/>
        </w:rPr>
        <w:t xml:space="preserve"> </w:t>
      </w:r>
      <w:r w:rsidRPr="00F8136E">
        <w:rPr>
          <w:rFonts w:cs="Arial" w:hint="cs"/>
          <w:b/>
          <w:bCs/>
          <w:rtl/>
        </w:rPr>
        <w:t>مع</w:t>
      </w:r>
      <w:r w:rsidRPr="00F8136E">
        <w:rPr>
          <w:rFonts w:cs="Arial"/>
          <w:b/>
          <w:bCs/>
          <w:rtl/>
        </w:rPr>
        <w:t xml:space="preserve"> </w:t>
      </w:r>
      <w:r w:rsidRPr="00F8136E">
        <w:rPr>
          <w:rFonts w:cs="Arial" w:hint="cs"/>
          <w:b/>
          <w:bCs/>
          <w:rtl/>
        </w:rPr>
        <w:t>مديري</w:t>
      </w:r>
      <w:r w:rsidRPr="00F8136E">
        <w:rPr>
          <w:rFonts w:cs="Arial"/>
          <w:b/>
          <w:bCs/>
          <w:rtl/>
        </w:rPr>
        <w:t xml:space="preserve"> </w:t>
      </w:r>
      <w:r w:rsidRPr="00F8136E">
        <w:rPr>
          <w:rFonts w:cs="Arial" w:hint="cs"/>
          <w:b/>
          <w:bCs/>
          <w:rtl/>
        </w:rPr>
        <w:t>التعليم</w:t>
      </w:r>
      <w:r w:rsidRPr="00F8136E">
        <w:rPr>
          <w:rFonts w:cs="Arial"/>
          <w:b/>
          <w:bCs/>
          <w:rtl/>
        </w:rPr>
        <w:t xml:space="preserve"> </w:t>
      </w:r>
      <w:r w:rsidRPr="00F8136E">
        <w:rPr>
          <w:rFonts w:cs="Arial" w:hint="cs"/>
          <w:b/>
          <w:bCs/>
          <w:rtl/>
        </w:rPr>
        <w:t>الفني</w:t>
      </w:r>
      <w:r w:rsidRPr="00F8136E">
        <w:rPr>
          <w:rFonts w:cs="Arial"/>
          <w:b/>
          <w:bCs/>
          <w:rtl/>
        </w:rPr>
        <w:t xml:space="preserve"> </w:t>
      </w:r>
      <w:r w:rsidRPr="00F8136E">
        <w:rPr>
          <w:rFonts w:cs="Arial" w:hint="cs"/>
          <w:b/>
          <w:bCs/>
          <w:rtl/>
        </w:rPr>
        <w:t>في</w:t>
      </w:r>
      <w:r w:rsidRPr="00F8136E">
        <w:rPr>
          <w:rFonts w:cs="Arial"/>
          <w:b/>
          <w:bCs/>
          <w:rtl/>
        </w:rPr>
        <w:t xml:space="preserve"> </w:t>
      </w:r>
      <w:r w:rsidRPr="00F8136E">
        <w:rPr>
          <w:rFonts w:cs="Arial" w:hint="cs"/>
          <w:b/>
          <w:bCs/>
          <w:rtl/>
        </w:rPr>
        <w:t>دول</w:t>
      </w:r>
      <w:r w:rsidRPr="00F8136E">
        <w:rPr>
          <w:rFonts w:cs="Arial"/>
          <w:b/>
          <w:bCs/>
          <w:rtl/>
        </w:rPr>
        <w:t xml:space="preserve"> </w:t>
      </w:r>
      <w:r w:rsidRPr="00F8136E">
        <w:rPr>
          <w:rFonts w:cs="Arial" w:hint="cs"/>
          <w:b/>
          <w:bCs/>
          <w:rtl/>
        </w:rPr>
        <w:t>مجلس</w:t>
      </w:r>
      <w:r w:rsidRPr="00F8136E">
        <w:rPr>
          <w:rFonts w:cs="Arial"/>
          <w:b/>
          <w:bCs/>
          <w:rtl/>
        </w:rPr>
        <w:t xml:space="preserve"> </w:t>
      </w:r>
      <w:r w:rsidRPr="00F8136E">
        <w:rPr>
          <w:rFonts w:cs="Arial" w:hint="cs"/>
          <w:b/>
          <w:bCs/>
          <w:rtl/>
        </w:rPr>
        <w:t>التعاون</w:t>
      </w:r>
      <w:r w:rsidRPr="00F8136E">
        <w:rPr>
          <w:rFonts w:cs="Arial"/>
          <w:b/>
          <w:bCs/>
          <w:rtl/>
        </w:rPr>
        <w:t xml:space="preserve"> </w:t>
      </w:r>
      <w:r w:rsidRPr="00F8136E">
        <w:rPr>
          <w:rFonts w:cs="Arial" w:hint="cs"/>
          <w:b/>
          <w:bCs/>
          <w:rtl/>
        </w:rPr>
        <w:t>الخليجي</w:t>
      </w:r>
      <w:r w:rsidRPr="00F8136E">
        <w:rPr>
          <w:rFonts w:cs="Arial"/>
          <w:b/>
          <w:bCs/>
          <w:rtl/>
        </w:rPr>
        <w:t xml:space="preserve"> </w:t>
      </w:r>
      <w:r w:rsidRPr="00F8136E">
        <w:rPr>
          <w:rFonts w:cs="Arial" w:hint="cs"/>
          <w:b/>
          <w:bCs/>
          <w:rtl/>
        </w:rPr>
        <w:t>لمراجعة</w:t>
      </w:r>
      <w:r w:rsidRPr="00F8136E">
        <w:rPr>
          <w:rFonts w:cs="Arial"/>
          <w:b/>
          <w:bCs/>
          <w:rtl/>
        </w:rPr>
        <w:t xml:space="preserve"> </w:t>
      </w:r>
      <w:r w:rsidRPr="00F8136E">
        <w:rPr>
          <w:rFonts w:cs="Arial" w:hint="cs"/>
          <w:b/>
          <w:bCs/>
          <w:rtl/>
        </w:rPr>
        <w:t>أطر</w:t>
      </w:r>
      <w:r w:rsidRPr="00F8136E">
        <w:rPr>
          <w:rFonts w:cs="Arial"/>
          <w:b/>
          <w:bCs/>
          <w:rtl/>
        </w:rPr>
        <w:t xml:space="preserve"> </w:t>
      </w:r>
      <w:r w:rsidRPr="00F8136E">
        <w:rPr>
          <w:rFonts w:cs="Arial" w:hint="cs"/>
          <w:b/>
          <w:bCs/>
          <w:rtl/>
        </w:rPr>
        <w:t>الحوكمة</w:t>
      </w:r>
      <w:r w:rsidRPr="00F8136E">
        <w:rPr>
          <w:rFonts w:cs="Arial"/>
          <w:b/>
          <w:bCs/>
          <w:rtl/>
        </w:rPr>
        <w:t xml:space="preserve"> </w:t>
      </w:r>
      <w:r w:rsidRPr="00F8136E">
        <w:rPr>
          <w:rFonts w:cs="Arial" w:hint="cs"/>
          <w:b/>
          <w:bCs/>
          <w:rtl/>
        </w:rPr>
        <w:t>المؤسسية</w:t>
      </w:r>
      <w:r w:rsidRPr="00F8136E">
        <w:rPr>
          <w:rFonts w:cs="Arial"/>
          <w:b/>
          <w:bCs/>
          <w:rtl/>
        </w:rPr>
        <w:t xml:space="preserve"> </w:t>
      </w:r>
      <w:r w:rsidRPr="00F8136E">
        <w:rPr>
          <w:rFonts w:cs="Arial" w:hint="cs"/>
          <w:b/>
          <w:bCs/>
          <w:rtl/>
        </w:rPr>
        <w:t>ونظم</w:t>
      </w:r>
      <w:r w:rsidRPr="00F8136E">
        <w:rPr>
          <w:rFonts w:cs="Arial"/>
          <w:b/>
          <w:bCs/>
          <w:rtl/>
        </w:rPr>
        <w:t xml:space="preserve"> </w:t>
      </w:r>
      <w:r w:rsidRPr="00F8136E">
        <w:rPr>
          <w:rFonts w:cs="Arial" w:hint="cs"/>
          <w:b/>
          <w:bCs/>
          <w:rtl/>
        </w:rPr>
        <w:t>التوظيف،</w:t>
      </w:r>
      <w:r w:rsidRPr="00F8136E">
        <w:rPr>
          <w:rFonts w:cs="Arial"/>
          <w:b/>
          <w:bCs/>
          <w:rtl/>
        </w:rPr>
        <w:t xml:space="preserve"> </w:t>
      </w:r>
      <w:r w:rsidRPr="00F8136E">
        <w:rPr>
          <w:rFonts w:cs="Arial" w:hint="cs"/>
          <w:b/>
          <w:bCs/>
          <w:rtl/>
        </w:rPr>
        <w:t>بما</w:t>
      </w:r>
      <w:r w:rsidRPr="00F8136E">
        <w:rPr>
          <w:rFonts w:cs="Arial"/>
          <w:b/>
          <w:bCs/>
          <w:rtl/>
        </w:rPr>
        <w:t xml:space="preserve"> </w:t>
      </w:r>
      <w:r w:rsidRPr="00F8136E">
        <w:rPr>
          <w:rFonts w:cs="Arial" w:hint="cs"/>
          <w:b/>
          <w:bCs/>
          <w:rtl/>
        </w:rPr>
        <w:t>يتماشى</w:t>
      </w:r>
      <w:r w:rsidRPr="00F8136E">
        <w:rPr>
          <w:rFonts w:cs="Arial"/>
          <w:b/>
          <w:bCs/>
          <w:rtl/>
        </w:rPr>
        <w:t xml:space="preserve"> </w:t>
      </w:r>
      <w:r w:rsidRPr="00F8136E">
        <w:rPr>
          <w:rFonts w:cs="Arial" w:hint="cs"/>
          <w:b/>
          <w:bCs/>
          <w:rtl/>
        </w:rPr>
        <w:t>مع</w:t>
      </w:r>
      <w:r w:rsidRPr="00F8136E">
        <w:rPr>
          <w:rFonts w:cs="Arial"/>
          <w:b/>
          <w:bCs/>
          <w:rtl/>
        </w:rPr>
        <w:t xml:space="preserve"> </w:t>
      </w:r>
      <w:r w:rsidRPr="00F8136E">
        <w:rPr>
          <w:rFonts w:cs="Arial" w:hint="cs"/>
          <w:b/>
          <w:bCs/>
          <w:rtl/>
        </w:rPr>
        <w:t>سياسات</w:t>
      </w:r>
      <w:r w:rsidRPr="00F8136E">
        <w:rPr>
          <w:rFonts w:cs="Arial"/>
          <w:b/>
          <w:bCs/>
          <w:rtl/>
        </w:rPr>
        <w:t xml:space="preserve"> </w:t>
      </w:r>
      <w:r w:rsidRPr="00F8136E">
        <w:rPr>
          <w:rFonts w:cs="Arial" w:hint="cs"/>
          <w:b/>
          <w:bCs/>
          <w:rtl/>
        </w:rPr>
        <w:t>ديوان</w:t>
      </w:r>
      <w:r w:rsidRPr="00F8136E">
        <w:rPr>
          <w:rFonts w:cs="Arial"/>
          <w:b/>
          <w:bCs/>
          <w:rtl/>
        </w:rPr>
        <w:t xml:space="preserve"> </w:t>
      </w:r>
      <w:r w:rsidRPr="00F8136E">
        <w:rPr>
          <w:rFonts w:cs="Arial" w:hint="cs"/>
          <w:b/>
          <w:bCs/>
          <w:rtl/>
        </w:rPr>
        <w:t>الخدمة</w:t>
      </w:r>
      <w:r w:rsidRPr="00F8136E">
        <w:rPr>
          <w:rFonts w:cs="Arial"/>
          <w:b/>
          <w:bCs/>
          <w:rtl/>
        </w:rPr>
        <w:t xml:space="preserve"> </w:t>
      </w:r>
      <w:r w:rsidRPr="00F8136E">
        <w:rPr>
          <w:rFonts w:cs="Arial" w:hint="cs"/>
          <w:b/>
          <w:bCs/>
          <w:rtl/>
        </w:rPr>
        <w:t>المدنية</w:t>
      </w:r>
      <w:r w:rsidRPr="00F8136E">
        <w:rPr>
          <w:rFonts w:cs="Arial"/>
          <w:b/>
          <w:bCs/>
          <w:rtl/>
        </w:rPr>
        <w:t xml:space="preserve"> </w:t>
      </w:r>
      <w:r w:rsidRPr="00F8136E">
        <w:rPr>
          <w:rFonts w:cs="Arial" w:hint="cs"/>
          <w:b/>
          <w:bCs/>
          <w:rtl/>
        </w:rPr>
        <w:t>في</w:t>
      </w:r>
      <w:r w:rsidRPr="00F8136E">
        <w:rPr>
          <w:rFonts w:cs="Arial"/>
          <w:b/>
          <w:bCs/>
          <w:rtl/>
        </w:rPr>
        <w:t xml:space="preserve"> </w:t>
      </w:r>
      <w:r w:rsidRPr="00F8136E">
        <w:rPr>
          <w:rFonts w:cs="Arial" w:hint="cs"/>
          <w:b/>
          <w:bCs/>
          <w:rtl/>
        </w:rPr>
        <w:t>دولة</w:t>
      </w:r>
      <w:r w:rsidRPr="00F8136E">
        <w:rPr>
          <w:rFonts w:cs="Arial"/>
          <w:b/>
          <w:bCs/>
          <w:rtl/>
        </w:rPr>
        <w:t xml:space="preserve"> </w:t>
      </w:r>
      <w:r w:rsidRPr="00F8136E">
        <w:rPr>
          <w:rFonts w:cs="Arial" w:hint="cs"/>
          <w:b/>
          <w:bCs/>
          <w:rtl/>
        </w:rPr>
        <w:t>الكويت،</w:t>
      </w:r>
      <w:r w:rsidRPr="00F8136E">
        <w:rPr>
          <w:rFonts w:cs="Arial"/>
          <w:b/>
          <w:bCs/>
          <w:rtl/>
        </w:rPr>
        <w:t xml:space="preserve"> </w:t>
      </w:r>
      <w:r w:rsidRPr="00F8136E">
        <w:rPr>
          <w:rFonts w:cs="Arial" w:hint="cs"/>
          <w:b/>
          <w:bCs/>
          <w:rtl/>
        </w:rPr>
        <w:t>ودعمًا</w:t>
      </w:r>
      <w:r w:rsidRPr="00F8136E">
        <w:rPr>
          <w:rFonts w:cs="Arial"/>
          <w:b/>
          <w:bCs/>
          <w:rtl/>
        </w:rPr>
        <w:t xml:space="preserve"> </w:t>
      </w:r>
      <w:r w:rsidRPr="00F8136E">
        <w:rPr>
          <w:rFonts w:cs="Arial" w:hint="cs"/>
          <w:b/>
          <w:bCs/>
          <w:rtl/>
        </w:rPr>
        <w:t>لتحقيق</w:t>
      </w:r>
      <w:r w:rsidRPr="00F8136E">
        <w:rPr>
          <w:rFonts w:cs="Arial"/>
          <w:b/>
          <w:bCs/>
          <w:rtl/>
        </w:rPr>
        <w:t xml:space="preserve"> </w:t>
      </w:r>
      <w:r w:rsidRPr="00F8136E">
        <w:rPr>
          <w:rFonts w:cs="Arial" w:hint="cs"/>
          <w:b/>
          <w:bCs/>
          <w:rtl/>
        </w:rPr>
        <w:t>الهدف</w:t>
      </w:r>
      <w:r w:rsidRPr="00F8136E">
        <w:rPr>
          <w:rFonts w:cs="Arial"/>
          <w:b/>
          <w:bCs/>
          <w:rtl/>
        </w:rPr>
        <w:t xml:space="preserve"> </w:t>
      </w:r>
      <w:r w:rsidRPr="00F8136E">
        <w:rPr>
          <w:rFonts w:cs="Arial" w:hint="cs"/>
          <w:b/>
          <w:bCs/>
          <w:rtl/>
        </w:rPr>
        <w:t>الثامن</w:t>
      </w:r>
      <w:r w:rsidRPr="00F8136E">
        <w:rPr>
          <w:rFonts w:cs="Arial"/>
          <w:b/>
          <w:bCs/>
          <w:rtl/>
        </w:rPr>
        <w:t xml:space="preserve"> </w:t>
      </w:r>
      <w:r w:rsidRPr="00F8136E">
        <w:rPr>
          <w:rFonts w:cs="Arial" w:hint="cs"/>
          <w:b/>
          <w:bCs/>
          <w:rtl/>
        </w:rPr>
        <w:t>من</w:t>
      </w:r>
      <w:r w:rsidRPr="00F8136E">
        <w:rPr>
          <w:rFonts w:cs="Arial"/>
          <w:b/>
          <w:bCs/>
          <w:rtl/>
        </w:rPr>
        <w:t xml:space="preserve"> </w:t>
      </w:r>
      <w:r w:rsidRPr="00F8136E">
        <w:rPr>
          <w:rFonts w:cs="Arial" w:hint="cs"/>
          <w:b/>
          <w:bCs/>
          <w:rtl/>
        </w:rPr>
        <w:t>أهداف</w:t>
      </w:r>
      <w:r w:rsidRPr="00F8136E">
        <w:rPr>
          <w:rFonts w:cs="Arial"/>
          <w:b/>
          <w:bCs/>
          <w:rtl/>
        </w:rPr>
        <w:t xml:space="preserve"> </w:t>
      </w:r>
      <w:r w:rsidRPr="00F8136E">
        <w:rPr>
          <w:rFonts w:cs="Arial" w:hint="cs"/>
          <w:b/>
          <w:bCs/>
          <w:rtl/>
        </w:rPr>
        <w:t>التنمية</w:t>
      </w:r>
      <w:r w:rsidRPr="00F8136E">
        <w:rPr>
          <w:rFonts w:cs="Arial"/>
          <w:b/>
          <w:bCs/>
          <w:rtl/>
        </w:rPr>
        <w:t xml:space="preserve"> </w:t>
      </w:r>
      <w:r w:rsidRPr="00F8136E">
        <w:rPr>
          <w:rFonts w:cs="Arial" w:hint="cs"/>
          <w:b/>
          <w:bCs/>
          <w:rtl/>
        </w:rPr>
        <w:t>المستدامة</w:t>
      </w:r>
      <w:r w:rsidRPr="00F8136E">
        <w:rPr>
          <w:rFonts w:cs="Arial"/>
          <w:b/>
          <w:bCs/>
          <w:rtl/>
        </w:rPr>
        <w:t xml:space="preserve"> – </w:t>
      </w:r>
      <w:r w:rsidRPr="00F8136E">
        <w:rPr>
          <w:rFonts w:cs="Arial" w:hint="cs"/>
          <w:b/>
          <w:bCs/>
          <w:rtl/>
        </w:rPr>
        <w:t>العمل</w:t>
      </w:r>
      <w:r w:rsidRPr="00F8136E">
        <w:rPr>
          <w:rFonts w:cs="Arial"/>
          <w:b/>
          <w:bCs/>
          <w:rtl/>
        </w:rPr>
        <w:t xml:space="preserve"> </w:t>
      </w:r>
      <w:r w:rsidRPr="00F8136E">
        <w:rPr>
          <w:rFonts w:cs="Arial" w:hint="cs"/>
          <w:b/>
          <w:bCs/>
          <w:rtl/>
        </w:rPr>
        <w:t>اللائق</w:t>
      </w:r>
      <w:r w:rsidRPr="00F8136E">
        <w:rPr>
          <w:rFonts w:cs="Arial"/>
          <w:b/>
          <w:bCs/>
          <w:rtl/>
        </w:rPr>
        <w:t xml:space="preserve"> </w:t>
      </w:r>
      <w:r w:rsidRPr="00F8136E">
        <w:rPr>
          <w:rFonts w:cs="Arial" w:hint="cs"/>
          <w:b/>
          <w:bCs/>
          <w:rtl/>
        </w:rPr>
        <w:t>والنمو</w:t>
      </w:r>
      <w:r w:rsidRPr="00F8136E">
        <w:rPr>
          <w:rFonts w:cs="Arial"/>
          <w:b/>
          <w:bCs/>
          <w:rtl/>
        </w:rPr>
        <w:t xml:space="preserve"> </w:t>
      </w:r>
      <w:r w:rsidRPr="00F8136E">
        <w:rPr>
          <w:rFonts w:cs="Arial" w:hint="cs"/>
          <w:b/>
          <w:bCs/>
          <w:rtl/>
        </w:rPr>
        <w:t>الاقتصادي</w:t>
      </w:r>
      <w:r w:rsidRPr="00F8136E">
        <w:rPr>
          <w:rFonts w:cs="Arial"/>
          <w:b/>
          <w:bCs/>
          <w:rtl/>
        </w:rPr>
        <w:t>.</w:t>
      </w:r>
    </w:p>
    <w:p w14:paraId="21CE17EA" w14:textId="77777777" w:rsidR="00F8136E" w:rsidRDefault="00F8136E" w:rsidP="00F8136E">
      <w:pPr>
        <w:bidi/>
        <w:rPr>
          <w:rtl/>
        </w:rPr>
      </w:pPr>
    </w:p>
    <w:p w14:paraId="6D84E7E8" w14:textId="77777777" w:rsidR="00F8136E" w:rsidRPr="00DD02DC" w:rsidRDefault="00F8136E" w:rsidP="00F8136E">
      <w:pPr>
        <w:bidi/>
      </w:pPr>
    </w:p>
    <w:p w14:paraId="0536754F" w14:textId="77777777" w:rsidR="00DD02DC" w:rsidRPr="00DD02DC" w:rsidRDefault="00DD02DC" w:rsidP="00DD02DC">
      <w:pPr>
        <w:bidi/>
        <w:rPr>
          <w:b/>
          <w:bCs/>
        </w:rPr>
      </w:pPr>
      <w:r w:rsidRPr="00DD02DC">
        <w:rPr>
          <w:b/>
          <w:bCs/>
          <w:rtl/>
        </w:rPr>
        <w:t>العدالة والشفافية والمساءلة</w:t>
      </w:r>
    </w:p>
    <w:p w14:paraId="153EF7FF" w14:textId="77777777" w:rsidR="00DD02DC" w:rsidRPr="00DD02DC" w:rsidRDefault="00DD02DC" w:rsidP="00DD02DC">
      <w:pPr>
        <w:bidi/>
      </w:pPr>
      <w:r w:rsidRPr="00DD02DC">
        <w:rPr>
          <w:rtl/>
        </w:rPr>
        <w:t>تعكس سياسات التوظيف في الهيئة مبادئ رؤية الكويت 2035 – “كويت جديدة</w:t>
      </w:r>
      <w:r w:rsidRPr="00DD02DC">
        <w:t xml:space="preserve">” </w:t>
      </w:r>
      <w:r w:rsidRPr="00DD02DC">
        <w:rPr>
          <w:rtl/>
        </w:rPr>
        <w:t>التي تركز على تنمية رأس المال البشري وتعزيز فرص العمل اللائق للجميع</w:t>
      </w:r>
      <w:r w:rsidRPr="00DD02DC">
        <w:t>.</w:t>
      </w:r>
      <w:r w:rsidRPr="00DD02DC">
        <w:br/>
      </w:r>
      <w:r w:rsidRPr="00DD02DC">
        <w:rPr>
          <w:rtl/>
        </w:rPr>
        <w:t>وتقوم إدارة الموارد البشرية في الهيئة بتطبيق إجراءات موحدة للتوظيف والتقييم والتعويض تتماشى مع قانون الخدمة المدنية رقم (15) لسنة 1979 ولوائحه التنفيذية</w:t>
      </w:r>
      <w:r w:rsidRPr="00DD02DC">
        <w:t>.</w:t>
      </w:r>
      <w:r w:rsidRPr="00DD02DC">
        <w:br/>
      </w:r>
      <w:r w:rsidRPr="00DD02DC">
        <w:rPr>
          <w:rtl/>
        </w:rPr>
        <w:t>كما يشرف نائب المدير العام للشؤون الإدارية والمالية على جميع سياسات التوظيف والأجور لضمان الاتساق والمساءلة والتحسين المستمر في مختلف الكليات والوحدات الإدارية</w:t>
      </w:r>
      <w:r w:rsidRPr="00DD02DC">
        <w:t>.</w:t>
      </w:r>
    </w:p>
    <w:p w14:paraId="2BBCB021" w14:textId="3D8371EC" w:rsidR="00DD02DC" w:rsidRPr="00DD02DC" w:rsidRDefault="00DD02DC" w:rsidP="00DD02DC">
      <w:pPr>
        <w:bidi/>
      </w:pPr>
      <w:r w:rsidRPr="00DD02DC">
        <w:rPr>
          <w:rtl/>
        </w:rPr>
        <w:t>نظام “</w:t>
      </w:r>
      <w:hyperlink r:id="rId5" w:history="1">
        <w:r w:rsidRPr="002C6350">
          <w:rPr>
            <w:rStyle w:val="Hyperlink"/>
            <w:rtl/>
          </w:rPr>
          <w:t>الأداء والسلوك المهني</w:t>
        </w:r>
      </w:hyperlink>
      <w:r w:rsidRPr="00DD02DC">
        <w:rPr>
          <w:rtl/>
        </w:rPr>
        <w:t>” الصادر عن ديوان المحاسبة لتعزيز أخلاقيات العمل والمساءلة المهنية في جميع قطاعات الهيئة</w:t>
      </w:r>
      <w:r w:rsidRPr="00DD02DC">
        <w:t>.</w:t>
      </w:r>
    </w:p>
    <w:p w14:paraId="00BDA833" w14:textId="3281A7C7" w:rsidR="00DD02DC" w:rsidRPr="00DD02DC" w:rsidRDefault="00DD02DC" w:rsidP="00DD02DC">
      <w:pPr>
        <w:bidi/>
      </w:pPr>
    </w:p>
    <w:p w14:paraId="06EA6793" w14:textId="77777777" w:rsidR="00DD02DC" w:rsidRPr="00DD02DC" w:rsidRDefault="00DD02DC" w:rsidP="00DD02DC">
      <w:pPr>
        <w:bidi/>
        <w:rPr>
          <w:b/>
          <w:bCs/>
        </w:rPr>
      </w:pPr>
      <w:r w:rsidRPr="00DD02DC">
        <w:rPr>
          <w:b/>
          <w:bCs/>
          <w:rtl/>
        </w:rPr>
        <w:lastRenderedPageBreak/>
        <w:t>الإشراف المؤسسي وإطار الرواتب</w:t>
      </w:r>
    </w:p>
    <w:p w14:paraId="69942AF9" w14:textId="77777777" w:rsidR="00DD02DC" w:rsidRPr="00DD02DC" w:rsidRDefault="00DD02DC" w:rsidP="00DD02DC">
      <w:pPr>
        <w:bidi/>
      </w:pPr>
      <w:r w:rsidRPr="00DD02DC">
        <w:rPr>
          <w:rtl/>
        </w:rPr>
        <w:t>تخضع ممارسات التوظيف والتعويض في الهيئة لتوجيهات مجلس الخدمة المدنية، الذي يضمن العدالة والشفافية في جميع الدرجات الوظيفية الخاصة بالتدريس والتدريب</w:t>
      </w:r>
      <w:r w:rsidRPr="00DD02DC">
        <w:t>.</w:t>
      </w:r>
      <w:r w:rsidRPr="00DD02DC">
        <w:br/>
      </w:r>
      <w:r w:rsidRPr="00DD02DC">
        <w:rPr>
          <w:rtl/>
        </w:rPr>
        <w:t xml:space="preserve">وبموجب قرار المجلس الصادر عام </w:t>
      </w:r>
      <w:r w:rsidRPr="00DD02DC">
        <w:t>2007</w:t>
      </w:r>
      <w:r w:rsidRPr="00DD02DC">
        <w:rPr>
          <w:rtl/>
        </w:rPr>
        <w:t>، تم توحيد درجات الرواتب وبدلات التدريس والسكن لجميع أعضاء هيئة التدريس والمدربين العاملين في مؤسسات الدولة التعليمية، ما يكفل مبدأ الأجر المتساوي للعمل المتساوي ويحفظ حقوق الموظفين بما يتوافق مع التشريعات الوطنية ذات الصلة</w:t>
      </w:r>
      <w:r w:rsidRPr="00DD02DC">
        <w:t>.</w:t>
      </w:r>
    </w:p>
    <w:p w14:paraId="74417D1D" w14:textId="77777777" w:rsidR="00DD02DC" w:rsidRDefault="00DD02DC" w:rsidP="00DD02DC">
      <w:pPr>
        <w:bidi/>
        <w:rPr>
          <w:rtl/>
        </w:rPr>
      </w:pPr>
      <w:r w:rsidRPr="00DD02DC">
        <w:rPr>
          <w:rtl/>
        </w:rPr>
        <w:t>تُعتبر هذه السياسات جزءاً أساسياً من التزام الهيئة بتحقيق المؤشر الفرعي 8.5 من أهداف التنمية المستدامة، والمتعلق بتعزيز العمل اللائق والمساواة في الأجور</w:t>
      </w:r>
      <w:r w:rsidRPr="00DD02DC">
        <w:t>.</w:t>
      </w:r>
    </w:p>
    <w:p w14:paraId="2B324EC1" w14:textId="7A868739" w:rsidR="00F8136E" w:rsidRPr="00DD02DC" w:rsidRDefault="00F8136E" w:rsidP="00F8136E">
      <w:pPr>
        <w:bidi/>
      </w:pPr>
      <w:r>
        <w:object w:dxaOrig="2229" w:dyaOrig="818" w14:anchorId="14898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4pt;height:40.9pt" o:ole="">
            <v:imagedata r:id="rId6" o:title=""/>
          </v:shape>
          <o:OLEObject Type="Embed" ProgID="Package" ShapeID="_x0000_i1025" DrawAspect="Content" ObjectID="_1823586083" r:id="rId7"/>
        </w:object>
      </w:r>
      <w:r>
        <w:object w:dxaOrig="3466" w:dyaOrig="818" w14:anchorId="15FE7DC9">
          <v:shape id="_x0000_i1026" type="#_x0000_t75" style="width:173.25pt;height:40.9pt" o:ole="">
            <v:imagedata r:id="rId8" o:title=""/>
          </v:shape>
          <o:OLEObject Type="Embed" ProgID="Package" ShapeID="_x0000_i1026" DrawAspect="Content" ObjectID="_1823586084" r:id="rId9"/>
        </w:object>
      </w:r>
    </w:p>
    <w:p w14:paraId="0F69C437" w14:textId="50E9C043" w:rsidR="00DD02DC" w:rsidRPr="00DD02DC" w:rsidRDefault="00DD02DC" w:rsidP="00DD02DC">
      <w:pPr>
        <w:bidi/>
      </w:pPr>
    </w:p>
    <w:p w14:paraId="67991D10" w14:textId="77777777" w:rsidR="00DD02DC" w:rsidRPr="00DD02DC" w:rsidRDefault="00DD02DC" w:rsidP="00DD02DC">
      <w:pPr>
        <w:bidi/>
        <w:rPr>
          <w:b/>
          <w:bCs/>
        </w:rPr>
      </w:pPr>
      <w:r w:rsidRPr="00DD02DC">
        <w:rPr>
          <w:b/>
          <w:bCs/>
          <w:rtl/>
        </w:rPr>
        <w:t>الرقابة المؤسسية وضمان الامتثال</w:t>
      </w:r>
    </w:p>
    <w:p w14:paraId="77FCD9A8" w14:textId="18289807" w:rsidR="00DD02DC" w:rsidRPr="00DD02DC" w:rsidRDefault="00DD02DC" w:rsidP="00DD02DC">
      <w:pPr>
        <w:bidi/>
      </w:pPr>
      <w:r w:rsidRPr="00DD02DC">
        <w:rPr>
          <w:rtl/>
        </w:rPr>
        <w:t xml:space="preserve">في عام </w:t>
      </w:r>
      <w:r w:rsidRPr="00DD02DC">
        <w:t>2024</w:t>
      </w:r>
      <w:r w:rsidRPr="00DD02DC">
        <w:rPr>
          <w:rtl/>
        </w:rPr>
        <w:t>، أنهت الهيئة مراجعة شاملة لأنظمة التعويضات بالتعاون مع ديوان الخدمة المدنية، حيث تم التأكيد على نسبة التزام بلغت 100</w:t>
      </w:r>
      <w:r w:rsidRPr="00DD02DC">
        <w:t xml:space="preserve">% </w:t>
      </w:r>
      <w:r w:rsidRPr="00DD02DC">
        <w:rPr>
          <w:rtl/>
        </w:rPr>
        <w:t>بسلم الرواتب الموحد ولوائح الحد الأدنى للأجور</w:t>
      </w:r>
      <w:r w:rsidRPr="00DD02DC">
        <w:t>.</w:t>
      </w:r>
      <w:r w:rsidRPr="00DD02DC">
        <w:br/>
      </w:r>
      <w:r w:rsidRPr="00DD02DC">
        <w:rPr>
          <w:rtl/>
        </w:rPr>
        <w:t xml:space="preserve">وشملت عملية التدقيق أكثر من </w:t>
      </w:r>
      <w:r w:rsidRPr="00DD02DC">
        <w:t xml:space="preserve">5,200 </w:t>
      </w:r>
      <w:r w:rsidRPr="00DD02DC">
        <w:rPr>
          <w:rtl/>
        </w:rPr>
        <w:t xml:space="preserve">موظف في جميع الكليات والوحدات الإدارية، مما أكد توافق أنظمة الأجور والتوظيف في الهيئة مع قوانين العمل والخدمة المدنية الكويتية، ودعمها المباشر لأهداف الأمم المتحدة للتنمية المستدامة </w:t>
      </w:r>
      <w:r w:rsidR="002C6350">
        <w:rPr>
          <w:rFonts w:hint="cs"/>
          <w:rtl/>
          <w:lang w:bidi="ar-KW"/>
        </w:rPr>
        <w:t>(</w:t>
      </w:r>
      <w:r w:rsidRPr="00DD02DC">
        <w:rPr>
          <w:rtl/>
        </w:rPr>
        <w:t>الهدف الثامن: العمل اللائق والنمو الاقتصادي</w:t>
      </w:r>
      <w:r w:rsidR="002C6350">
        <w:rPr>
          <w:rFonts w:hint="cs"/>
          <w:rtl/>
        </w:rPr>
        <w:t>).</w:t>
      </w:r>
    </w:p>
    <w:p w14:paraId="726FE028" w14:textId="6C98B9C0" w:rsidR="002C6350" w:rsidRPr="00DD02DC" w:rsidRDefault="00F8136E" w:rsidP="00F8136E">
      <w:pPr>
        <w:bidi/>
      </w:pPr>
      <w:r>
        <w:rPr>
          <w:rFonts w:hint="cs"/>
          <w:rtl/>
          <w:lang w:bidi="ar-KW"/>
        </w:rPr>
        <w:t>كتاب</w:t>
      </w:r>
      <w:r w:rsidR="00DD02DC" w:rsidRPr="00DD02DC">
        <w:rPr>
          <w:rtl/>
        </w:rPr>
        <w:t xml:space="preserve"> ديوان الخدمة المدنية الذي يوضح توافق أنظمة الهيئة مع سلم الرواتب الوطني ومعايير العدالة الوظيفية</w:t>
      </w:r>
      <w:r w:rsidR="00DD02DC" w:rsidRPr="00DD02DC">
        <w:t>.</w:t>
      </w:r>
    </w:p>
    <w:p w14:paraId="6B7A4840" w14:textId="77777777" w:rsidR="00DD02DC" w:rsidRDefault="00DD02DC" w:rsidP="00DD02DC">
      <w:pPr>
        <w:bidi/>
        <w:rPr>
          <w:rtl/>
        </w:rPr>
      </w:pPr>
      <w:r w:rsidRPr="00DD02DC">
        <w:rPr>
          <w:rtl/>
        </w:rPr>
        <w:t>كما تنص اللائحة المالية – الجزء الأول (بدلات التدريس والتدريب) على آليات واضحة لتحديد الاستحقاقات المالية والحوافز المرتبطة بالأداء، بما يعزز الشفافية والإنصاف في تطبيق سياسات التعويض</w:t>
      </w:r>
      <w:r w:rsidRPr="00DD02DC">
        <w:t>.</w:t>
      </w:r>
    </w:p>
    <w:p w14:paraId="3382895C" w14:textId="4C57F1F6" w:rsidR="00F8136E" w:rsidRPr="00DD02DC" w:rsidRDefault="00F8136E" w:rsidP="00F8136E">
      <w:pPr>
        <w:bidi/>
      </w:pPr>
      <w:r>
        <w:object w:dxaOrig="3924" w:dyaOrig="818" w14:anchorId="64EA56AD">
          <v:shape id="_x0000_i1027" type="#_x0000_t75" style="width:196.15pt;height:40.9pt" o:ole="">
            <v:imagedata r:id="rId10" o:title=""/>
          </v:shape>
          <o:OLEObject Type="Embed" ProgID="Package" ShapeID="_x0000_i1027" DrawAspect="Content" ObjectID="_1823586085" r:id="rId11"/>
        </w:object>
      </w:r>
    </w:p>
    <w:p w14:paraId="4D329CC3" w14:textId="58F883EB" w:rsidR="00DD02DC" w:rsidRPr="00DD02DC" w:rsidRDefault="00DD02DC" w:rsidP="00DD02DC">
      <w:pPr>
        <w:bidi/>
      </w:pPr>
    </w:p>
    <w:p w14:paraId="29B4B2B1" w14:textId="77777777" w:rsidR="00DD02DC" w:rsidRPr="00DD02DC" w:rsidRDefault="00DD02DC" w:rsidP="00DD02DC">
      <w:pPr>
        <w:bidi/>
        <w:rPr>
          <w:b/>
          <w:bCs/>
        </w:rPr>
      </w:pPr>
      <w:r w:rsidRPr="00DD02DC">
        <w:rPr>
          <w:b/>
          <w:bCs/>
          <w:rtl/>
        </w:rPr>
        <w:t>التطوير المستمر والقيادة الأخلاقية</w:t>
      </w:r>
    </w:p>
    <w:p w14:paraId="1437FF94" w14:textId="77777777" w:rsidR="00DD02DC" w:rsidRPr="00DD02DC" w:rsidRDefault="00DD02DC" w:rsidP="00DD02DC">
      <w:pPr>
        <w:bidi/>
      </w:pPr>
      <w:r w:rsidRPr="00DD02DC">
        <w:rPr>
          <w:rtl/>
        </w:rPr>
        <w:t>تواصل الهيئة مراجعة سياساتها الخاصة بالتوظيف والمساواة في الأجور عبر مقارنتها بأفضل الممارسات الدولية مثل برنامج العمل اللائق لمنظمة العمل الدولية</w:t>
      </w:r>
      <w:r w:rsidRPr="00DD02DC">
        <w:t xml:space="preserve"> (ILO Decent Work Agenda).</w:t>
      </w:r>
      <w:r w:rsidRPr="00DD02DC">
        <w:br/>
      </w:r>
      <w:r w:rsidRPr="00DD02DC">
        <w:rPr>
          <w:rtl/>
        </w:rPr>
        <w:t xml:space="preserve">واعتباراً من عام </w:t>
      </w:r>
      <w:r w:rsidRPr="00DD02DC">
        <w:t>2025</w:t>
      </w:r>
      <w:r w:rsidRPr="00DD02DC">
        <w:rPr>
          <w:rtl/>
        </w:rPr>
        <w:t>، ستصدر الهيئة تقرير الشفافية في الأجور السنوي، الذي يتضمن بيانات مجمّعة حول توزيع الأجور، والتوازن بين الجنسين، وفرص التطور المهني، تعزيزاً للثقة العامة والمساءلة المؤسسية</w:t>
      </w:r>
      <w:r w:rsidRPr="00DD02DC">
        <w:t>.</w:t>
      </w:r>
    </w:p>
    <w:p w14:paraId="1D64C48F" w14:textId="3C63BA8D" w:rsidR="00DD02DC" w:rsidRPr="00DD02DC" w:rsidRDefault="00DD02DC" w:rsidP="00DD02DC">
      <w:pPr>
        <w:bidi/>
      </w:pPr>
    </w:p>
    <w:p w14:paraId="3DD561B7" w14:textId="77777777" w:rsidR="00DD02DC" w:rsidRPr="00DD02DC" w:rsidRDefault="00DD02DC" w:rsidP="00DD02DC">
      <w:pPr>
        <w:bidi/>
        <w:rPr>
          <w:b/>
          <w:bCs/>
        </w:rPr>
      </w:pPr>
      <w:r w:rsidRPr="00DD02DC">
        <w:rPr>
          <w:b/>
          <w:bCs/>
          <w:rtl/>
        </w:rPr>
        <w:t>ختاماً</w:t>
      </w:r>
    </w:p>
    <w:p w14:paraId="3E12730F" w14:textId="77777777" w:rsidR="00DD02DC" w:rsidRPr="00DD02DC" w:rsidRDefault="00DD02DC" w:rsidP="00DD02DC">
      <w:pPr>
        <w:bidi/>
      </w:pPr>
      <w:r w:rsidRPr="00DD02DC">
        <w:rPr>
          <w:rtl/>
        </w:rPr>
        <w:lastRenderedPageBreak/>
        <w:t>من خلال التزامها الصارم بالقوانين الوطنية والمعايير الدولية، تؤكد الهيئة العامة للتعليم التطبيقي والتدريب أنها نموذج في الإدارة العادلة والشفافة للموارد البشرية</w:t>
      </w:r>
      <w:r w:rsidRPr="00DD02DC">
        <w:t>.</w:t>
      </w:r>
      <w:r w:rsidRPr="00DD02DC">
        <w:br/>
      </w:r>
      <w:r w:rsidRPr="00DD02DC">
        <w:rPr>
          <w:rtl/>
        </w:rPr>
        <w:t xml:space="preserve">فجميع سياسات الهيئة تعكس رؤيتها في بناء بيئة عمل منصفة، قائمة على الجدارة، ومحفّزة للتميز، بما يضمن تحقيق الهدف الثامن من أهداف التنمية المستدامة </w:t>
      </w:r>
      <w:r w:rsidRPr="00DD02DC">
        <w:t xml:space="preserve">– </w:t>
      </w:r>
      <w:r w:rsidRPr="00DD02DC">
        <w:rPr>
          <w:rtl/>
        </w:rPr>
        <w:t>العمل اللائق والنمو الاقتصادي للجميع</w:t>
      </w:r>
      <w:r w:rsidRPr="00DD02DC">
        <w:t>.</w:t>
      </w:r>
    </w:p>
    <w:p w14:paraId="64D4EE86" w14:textId="7DCCFF1B" w:rsidR="00DD02DC" w:rsidRPr="00DD02DC" w:rsidRDefault="00DD02DC" w:rsidP="00DD02DC">
      <w:pPr>
        <w:bidi/>
      </w:pPr>
      <w:r w:rsidRPr="00DD02DC">
        <w:br/>
      </w:r>
      <w:r w:rsidRPr="00DD02DC">
        <w:rPr>
          <w:rtl/>
        </w:rPr>
        <w:t>في الهيئة العامة للتعليم التطبيقي والتدريب، العدالة ليست مبدأ تنظيمي فحسب، بل هي ثقافة مؤسسية تترجم إلى ممارسات ملموسة تحفظ الكرامة وتدعم المساواة في كل بيئة عمل</w:t>
      </w:r>
      <w:r w:rsidRPr="00DD02DC">
        <w:t>.</w:t>
      </w:r>
    </w:p>
    <w:p w14:paraId="33090D4F" w14:textId="77777777" w:rsidR="009511AA" w:rsidRDefault="009511AA" w:rsidP="00DD02DC">
      <w:pPr>
        <w:bidi/>
      </w:pPr>
    </w:p>
    <w:sectPr w:rsidR="00951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2DC"/>
    <w:rsid w:val="00041838"/>
    <w:rsid w:val="00082A65"/>
    <w:rsid w:val="000923D5"/>
    <w:rsid w:val="0018555B"/>
    <w:rsid w:val="001E74A9"/>
    <w:rsid w:val="002C6350"/>
    <w:rsid w:val="00380F4B"/>
    <w:rsid w:val="00684BCB"/>
    <w:rsid w:val="007F03E8"/>
    <w:rsid w:val="009344A0"/>
    <w:rsid w:val="009511AA"/>
    <w:rsid w:val="00BE7F47"/>
    <w:rsid w:val="00C04023"/>
    <w:rsid w:val="00DD02DC"/>
    <w:rsid w:val="00F8136E"/>
    <w:rsid w:val="00FD3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B7455"/>
  <w15:chartTrackingRefBased/>
  <w15:docId w15:val="{1675D6D1-0AF4-4507-B4F4-E8073467D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02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02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02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02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02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02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02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02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02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2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02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02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02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02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02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02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02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02DC"/>
    <w:rPr>
      <w:rFonts w:eastAsiaTheme="majorEastAsia" w:cstheme="majorBidi"/>
      <w:color w:val="272727" w:themeColor="text1" w:themeTint="D8"/>
    </w:rPr>
  </w:style>
  <w:style w:type="paragraph" w:styleId="Title">
    <w:name w:val="Title"/>
    <w:basedOn w:val="Normal"/>
    <w:next w:val="Normal"/>
    <w:link w:val="TitleChar"/>
    <w:uiPriority w:val="10"/>
    <w:qFormat/>
    <w:rsid w:val="00DD0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2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2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02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02DC"/>
    <w:pPr>
      <w:spacing w:before="160"/>
      <w:jc w:val="center"/>
    </w:pPr>
    <w:rPr>
      <w:i/>
      <w:iCs/>
      <w:color w:val="404040" w:themeColor="text1" w:themeTint="BF"/>
    </w:rPr>
  </w:style>
  <w:style w:type="character" w:customStyle="1" w:styleId="QuoteChar">
    <w:name w:val="Quote Char"/>
    <w:basedOn w:val="DefaultParagraphFont"/>
    <w:link w:val="Quote"/>
    <w:uiPriority w:val="29"/>
    <w:rsid w:val="00DD02DC"/>
    <w:rPr>
      <w:i/>
      <w:iCs/>
      <w:color w:val="404040" w:themeColor="text1" w:themeTint="BF"/>
    </w:rPr>
  </w:style>
  <w:style w:type="paragraph" w:styleId="ListParagraph">
    <w:name w:val="List Paragraph"/>
    <w:basedOn w:val="Normal"/>
    <w:uiPriority w:val="34"/>
    <w:qFormat/>
    <w:rsid w:val="00DD02DC"/>
    <w:pPr>
      <w:ind w:left="720"/>
      <w:contextualSpacing/>
    </w:pPr>
  </w:style>
  <w:style w:type="character" w:styleId="IntenseEmphasis">
    <w:name w:val="Intense Emphasis"/>
    <w:basedOn w:val="DefaultParagraphFont"/>
    <w:uiPriority w:val="21"/>
    <w:qFormat/>
    <w:rsid w:val="00DD02DC"/>
    <w:rPr>
      <w:i/>
      <w:iCs/>
      <w:color w:val="0F4761" w:themeColor="accent1" w:themeShade="BF"/>
    </w:rPr>
  </w:style>
  <w:style w:type="paragraph" w:styleId="IntenseQuote">
    <w:name w:val="Intense Quote"/>
    <w:basedOn w:val="Normal"/>
    <w:next w:val="Normal"/>
    <w:link w:val="IntenseQuoteChar"/>
    <w:uiPriority w:val="30"/>
    <w:qFormat/>
    <w:rsid w:val="00DD02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02DC"/>
    <w:rPr>
      <w:i/>
      <w:iCs/>
      <w:color w:val="0F4761" w:themeColor="accent1" w:themeShade="BF"/>
    </w:rPr>
  </w:style>
  <w:style w:type="character" w:styleId="IntenseReference">
    <w:name w:val="Intense Reference"/>
    <w:basedOn w:val="DefaultParagraphFont"/>
    <w:uiPriority w:val="32"/>
    <w:qFormat/>
    <w:rsid w:val="00DD02DC"/>
    <w:rPr>
      <w:b/>
      <w:bCs/>
      <w:smallCaps/>
      <w:color w:val="0F4761" w:themeColor="accent1" w:themeShade="BF"/>
      <w:spacing w:val="5"/>
    </w:rPr>
  </w:style>
  <w:style w:type="character" w:styleId="Hyperlink">
    <w:name w:val="Hyperlink"/>
    <w:basedOn w:val="DefaultParagraphFont"/>
    <w:uiPriority w:val="99"/>
    <w:unhideWhenUsed/>
    <w:rsid w:val="002C6350"/>
    <w:rPr>
      <w:color w:val="467886" w:themeColor="hyperlink"/>
      <w:u w:val="single"/>
    </w:rPr>
  </w:style>
  <w:style w:type="character" w:styleId="UnresolvedMention">
    <w:name w:val="Unresolved Mention"/>
    <w:basedOn w:val="DefaultParagraphFont"/>
    <w:uiPriority w:val="99"/>
    <w:semiHidden/>
    <w:unhideWhenUsed/>
    <w:rsid w:val="002C6350"/>
    <w:rPr>
      <w:color w:val="605E5C"/>
      <w:shd w:val="clear" w:color="auto" w:fill="E1DFDD"/>
    </w:rPr>
  </w:style>
  <w:style w:type="character" w:styleId="FollowedHyperlink">
    <w:name w:val="FollowedHyperlink"/>
    <w:basedOn w:val="DefaultParagraphFont"/>
    <w:uiPriority w:val="99"/>
    <w:semiHidden/>
    <w:unhideWhenUsed/>
    <w:rsid w:val="002C635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hyperlink" Target="https://www.paaet.edu.kw/ar/%D8%A7%D9%84%D8%B1%D8%A6%D9%8A%D8%B3%D9%8A%D8%A9/%D9%85%D8%AF%D9%88%D9%86%D8%A9-%D8%A7%D9%84%D8%B3%D9%84%D9%88%D9%83-%D8%A7%D9%84%D9%88%D8%B8%D9%8A%D9%81%D9%8A/" TargetMode="External"/><Relationship Id="rId10" Type="http://schemas.openxmlformats.org/officeDocument/2006/relationships/image" Target="media/image4.emf"/><Relationship Id="rId4" Type="http://schemas.openxmlformats.org/officeDocument/2006/relationships/image" Target="media/image1.png"/><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581</Words>
  <Characters>3325</Characters>
  <Application>Microsoft Office Word</Application>
  <DocSecurity>0</DocSecurity>
  <Lines>77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Adsani</dc:creator>
  <cp:keywords/>
  <dc:description/>
  <cp:lastModifiedBy>Ebrahim Abdulrazzaq ALadsani</cp:lastModifiedBy>
  <cp:revision>4</cp:revision>
  <dcterms:created xsi:type="dcterms:W3CDTF">2025-10-31T08:24:00Z</dcterms:created>
  <dcterms:modified xsi:type="dcterms:W3CDTF">2025-11-02T07:54:00Z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cd5b2538-64dd-4755-9340-b2b38bed5fe9</vt:lpwstr>
  </property>
</Properties>
</file>